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Pr="00020EC4" w:rsidRDefault="00020EC4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2014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【週末文化講座】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南是全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</w:t>
      </w:r>
      <w:proofErr w:type="gramStart"/>
      <w:r w:rsidR="0038572A">
        <w:rPr>
          <w:rFonts w:ascii="Times New Roman" w:eastAsia="標楷體" w:hAnsi="Times New Roman" w:cs="Times New Roman"/>
          <w:sz w:val="28"/>
          <w:szCs w:val="28"/>
        </w:rPr>
        <w:t>勃</w:t>
      </w:r>
      <w:proofErr w:type="gramEnd"/>
      <w:r w:rsidR="0038572A">
        <w:rPr>
          <w:rFonts w:ascii="Times New Roman" w:eastAsia="標楷體" w:hAnsi="Times New Roman" w:cs="Times New Roman"/>
          <w:sz w:val="28"/>
          <w:szCs w:val="28"/>
        </w:rPr>
        <w:t>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深入淺出的教學方式，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</w:t>
      </w:r>
      <w:proofErr w:type="gramStart"/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南市政府文化局、南瀛國際人文</w:t>
      </w:r>
      <w:r w:rsidR="005750E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社會科學</w:t>
      </w: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研究中心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協辦單位：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文化部文化資產局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4D739D" w:rsidRDefault="00BC59F1" w:rsidP="005D522A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臺灣文化大學週末文化講座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以針對</w:t>
      </w:r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大</w:t>
      </w:r>
      <w:proofErr w:type="gramStart"/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南文化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相關議題之專題講座探討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為主；</w:t>
      </w:r>
      <w:r w:rsidR="0009194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年度</w:t>
      </w:r>
      <w:r w:rsidR="00D2222F">
        <w:rPr>
          <w:rFonts w:ascii="Times New Roman" w:eastAsia="標楷體" w:hAnsi="Times New Roman" w:cs="Times New Roman"/>
          <w:color w:val="000000"/>
          <w:sz w:val="28"/>
          <w:szCs w:val="28"/>
        </w:rPr>
        <w:t>規劃講座</w:t>
      </w:r>
      <w:r w:rsidR="00D2222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場，分別以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宗教、</w:t>
      </w:r>
      <w:r w:rsidR="0085222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文學理論、</w:t>
      </w:r>
      <w:r w:rsidR="006F666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考古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85222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民間故事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03732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歌謠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及台語片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為主題，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於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D8166D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14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23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D8166D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D8166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23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辦理。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4D739D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日期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E17825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="00E1782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日、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E17825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日、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14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23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E17825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日、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09</w:t>
      </w:r>
      <w:r w:rsidR="00896582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D739D">
        <w:rPr>
          <w:rFonts w:ascii="Times New Roman" w:eastAsia="標楷體" w:hAnsi="Times New Roman" w:cs="Times New Roman"/>
          <w:sz w:val="28"/>
          <w:szCs w:val="28"/>
        </w:rPr>
        <w:t>30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8572A">
        <w:rPr>
          <w:rFonts w:ascii="新細明體" w:eastAsia="新細明體" w:hAnsi="新細明體" w:cs="Times New Roman" w:hint="eastAsia"/>
          <w:sz w:val="28"/>
          <w:szCs w:val="28"/>
        </w:rPr>
        <w:t xml:space="preserve">~ </w:t>
      </w:r>
      <w:r w:rsidRPr="004D739D">
        <w:rPr>
          <w:rFonts w:ascii="Times New Roman" w:eastAsia="標楷體" w:hAnsi="Times New Roman" w:cs="Times New Roman"/>
          <w:sz w:val="28"/>
          <w:szCs w:val="28"/>
        </w:rPr>
        <w:t>1</w:t>
      </w:r>
      <w:r w:rsidR="00E1782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96582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E1782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文化部文化資產局文化資產保存中心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B1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國際會議廳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臺南市中西區中正路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1-1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號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</w:t>
      </w:r>
      <w:proofErr w:type="gramStart"/>
      <w:r w:rsidRPr="004D739D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4D739D">
        <w:rPr>
          <w:rFonts w:ascii="Times New Roman" w:eastAsia="標楷體" w:hAnsi="Times New Roman" w:cs="Times New Roman"/>
          <w:sz w:val="28"/>
          <w:szCs w:val="28"/>
        </w:rPr>
        <w:t>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E17825">
        <w:rPr>
          <w:rFonts w:ascii="Times New Roman" w:eastAsia="標楷體" w:hAnsi="Times New Roman" w:cs="Times New Roman"/>
          <w:sz w:val="28"/>
          <w:szCs w:val="28"/>
        </w:rPr>
        <w:t>1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</w:t>
      </w:r>
      <w:proofErr w:type="gramStart"/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lastRenderedPageBreak/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</w:t>
      </w:r>
      <w:proofErr w:type="gramStart"/>
      <w:r w:rsidR="00D03CCC">
        <w:rPr>
          <w:rFonts w:ascii="Times New Roman" w:eastAsia="標楷體" w:hAnsi="Times New Roman" w:cs="Times New Roman" w:hint="eastAsia"/>
          <w:sz w:val="28"/>
          <w:szCs w:val="28"/>
        </w:rPr>
        <w:t>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</w:t>
      </w:r>
      <w:proofErr w:type="gramEnd"/>
      <w:r w:rsidR="00D03CC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proofErr w:type="gramStart"/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proofErr w:type="gramEnd"/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</w:t>
      </w:r>
      <w:proofErr w:type="gramStart"/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Default="00BD11EA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講座即日起開放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7D5E89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日場次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請至臺南市政府文化局官網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http://www.tnc.gov.tw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→</w:t>
      </w:r>
      <w:r>
        <w:rPr>
          <w:rFonts w:ascii="Times New Roman" w:eastAsia="標楷體" w:hAnsi="Times New Roman" w:cs="Times New Roman" w:hint="eastAsia"/>
          <w:sz w:val="28"/>
          <w:szCs w:val="28"/>
        </w:rPr>
        <w:t>便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民服務</w:t>
      </w:r>
      <w:r w:rsidR="008969E7">
        <w:rPr>
          <w:rFonts w:ascii="標楷體" w:eastAsia="標楷體" w:hAnsi="標楷體" w:cs="Times New Roman" w:hint="eastAsia"/>
          <w:sz w:val="28"/>
          <w:szCs w:val="28"/>
        </w:rPr>
        <w:t>→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簡小姐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299</w:t>
      </w:r>
      <w:r w:rsidR="00481B71">
        <w:rPr>
          <w:rFonts w:ascii="Times New Roman" w:eastAsia="標楷體" w:hAnsi="Times New Roman" w:cs="Times New Roman"/>
          <w:sz w:val="28"/>
          <w:szCs w:val="28"/>
        </w:rPr>
        <w:t>-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1111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7903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E-mail:doceuvas@mail.tainan.gov.tw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2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7D5E89" w:rsidRPr="004D739D" w:rsidRDefault="007D5E89" w:rsidP="00860011">
      <w:pPr>
        <w:spacing w:beforeLines="50" w:before="180"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11EB0" w:rsidRPr="00215A1A" w:rsidRDefault="00481B71" w:rsidP="00E8618B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215A1A">
        <w:rPr>
          <w:rFonts w:ascii="標楷體" w:eastAsia="標楷體" w:hAnsi="標楷體" w:cs="Times New Roman" w:hint="eastAsia"/>
          <w:b/>
          <w:sz w:val="28"/>
          <w:szCs w:val="28"/>
        </w:rPr>
        <w:t>2014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2D6FFC" w:rsidRPr="00215A1A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2D6FFC" w:rsidRPr="00215A1A">
        <w:rPr>
          <w:rFonts w:ascii="Times New Roman" w:eastAsia="標楷體" w:hAnsi="Times New Roman" w:cs="Times New Roman" w:hint="eastAsia"/>
          <w:b/>
          <w:sz w:val="28"/>
          <w:szCs w:val="28"/>
        </w:rPr>
        <w:t>暫定</w:t>
      </w:r>
      <w:r w:rsidR="002D6FFC" w:rsidRPr="00215A1A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2977"/>
        <w:gridCol w:w="3260"/>
      </w:tblGrid>
      <w:tr w:rsidR="004D739D" w:rsidRPr="006F666B" w:rsidTr="0085222B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3E4E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10051" w:rsidRPr="00CE1079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1079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467C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6F666B" w:rsidRPr="006F666B" w:rsidTr="0085222B">
        <w:tc>
          <w:tcPr>
            <w:tcW w:w="1418" w:type="dxa"/>
            <w:vAlign w:val="center"/>
          </w:tcPr>
          <w:p w:rsidR="006F666B" w:rsidRPr="006F666B" w:rsidRDefault="006F666B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6F666B" w:rsidRPr="006F666B" w:rsidRDefault="006F666B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F666B" w:rsidRPr="006F666B" w:rsidRDefault="006F666B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6F666B" w:rsidRPr="00CE1079" w:rsidRDefault="006F666B" w:rsidP="006F66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道教、佛教與民間宗教</w:t>
            </w:r>
          </w:p>
        </w:tc>
        <w:tc>
          <w:tcPr>
            <w:tcW w:w="3260" w:type="dxa"/>
            <w:vAlign w:val="center"/>
          </w:tcPr>
          <w:p w:rsidR="006F666B" w:rsidRPr="006F666B" w:rsidRDefault="006F666B" w:rsidP="006F666B">
            <w:pPr>
              <w:jc w:val="center"/>
              <w:rPr>
                <w:rFonts w:eastAsia="標楷體"/>
                <w:szCs w:val="24"/>
              </w:rPr>
            </w:pPr>
            <w:r w:rsidRPr="006F666B">
              <w:rPr>
                <w:rFonts w:eastAsia="標楷體" w:hint="eastAsia"/>
                <w:szCs w:val="24"/>
              </w:rPr>
              <w:t>中央研究院民族學研究所</w:t>
            </w:r>
          </w:p>
          <w:p w:rsidR="006F666B" w:rsidRPr="006F666B" w:rsidRDefault="006F666B" w:rsidP="006F666B">
            <w:pPr>
              <w:jc w:val="center"/>
              <w:rPr>
                <w:rFonts w:eastAsia="標楷體"/>
                <w:szCs w:val="24"/>
              </w:rPr>
            </w:pPr>
            <w:r w:rsidRPr="006F666B">
              <w:rPr>
                <w:rFonts w:eastAsia="標楷體" w:hint="eastAsia"/>
                <w:szCs w:val="24"/>
              </w:rPr>
              <w:t>葉春榮副研究員</w:t>
            </w:r>
          </w:p>
        </w:tc>
      </w:tr>
      <w:tr w:rsidR="006F666B" w:rsidRPr="006F666B" w:rsidTr="0085222B">
        <w:tc>
          <w:tcPr>
            <w:tcW w:w="1418" w:type="dxa"/>
            <w:vAlign w:val="center"/>
          </w:tcPr>
          <w:p w:rsidR="006F666B" w:rsidRPr="006F666B" w:rsidRDefault="006F666B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6F666B" w:rsidRPr="006F666B" w:rsidRDefault="006F666B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6F666B" w:rsidRPr="006F666B" w:rsidRDefault="006F666B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6F666B" w:rsidRPr="00CE1079" w:rsidRDefault="00CE1079" w:rsidP="006F666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歐洲文化遺產書寫與臺南文化遺產的攝影書寫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6F666B" w:rsidRDefault="00CE1079" w:rsidP="006F666B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當代攝影職人</w:t>
            </w:r>
          </w:p>
          <w:p w:rsidR="00CE1079" w:rsidRPr="006F666B" w:rsidRDefault="00CE1079" w:rsidP="006F666B">
            <w:pPr>
              <w:jc w:val="center"/>
              <w:rPr>
                <w:rFonts w:eastAsia="標楷體" w:hint="eastAsia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范毅舜</w:t>
            </w:r>
            <w:proofErr w:type="gramEnd"/>
            <w:r>
              <w:rPr>
                <w:rFonts w:eastAsia="標楷體" w:hint="eastAsia"/>
                <w:szCs w:val="24"/>
              </w:rPr>
              <w:t>先生</w:t>
            </w:r>
          </w:p>
        </w:tc>
      </w:tr>
      <w:tr w:rsidR="00CE1079" w:rsidRPr="006F666B" w:rsidTr="0085222B">
        <w:tc>
          <w:tcPr>
            <w:tcW w:w="141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lastRenderedPageBreak/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CE1079" w:rsidRPr="00CE1079" w:rsidRDefault="00CE1079" w:rsidP="00F8759A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lastRenderedPageBreak/>
              <w:t>故事島的奇幻之旅－－安平民間傳說探索</w:t>
            </w:r>
          </w:p>
        </w:tc>
        <w:tc>
          <w:tcPr>
            <w:tcW w:w="3260" w:type="dxa"/>
            <w:vAlign w:val="center"/>
          </w:tcPr>
          <w:p w:rsidR="00CE1079" w:rsidRPr="00CE1079" w:rsidRDefault="00CE1079" w:rsidP="00CE1079">
            <w:pPr>
              <w:jc w:val="center"/>
              <w:rPr>
                <w:rFonts w:eastAsia="標楷體" w:hint="eastAsia"/>
                <w:sz w:val="22"/>
                <w:szCs w:val="24"/>
              </w:rPr>
            </w:pPr>
            <w:r w:rsidRPr="00CE1079">
              <w:rPr>
                <w:rFonts w:eastAsia="標楷體" w:hint="eastAsia"/>
                <w:sz w:val="22"/>
                <w:szCs w:val="24"/>
              </w:rPr>
              <w:t>國立成功大學台灣文學系</w:t>
            </w:r>
            <w:r w:rsidRPr="00CE1079">
              <w:rPr>
                <w:rFonts w:eastAsia="標楷體" w:hint="eastAsia"/>
                <w:sz w:val="22"/>
                <w:szCs w:val="24"/>
              </w:rPr>
              <w:t xml:space="preserve"> </w:t>
            </w:r>
          </w:p>
          <w:p w:rsidR="00CE1079" w:rsidRPr="006F666B" w:rsidRDefault="00CE1079" w:rsidP="00CE1079">
            <w:pPr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 w:val="22"/>
                <w:szCs w:val="24"/>
              </w:rPr>
              <w:t>林培雅副教授</w:t>
            </w:r>
          </w:p>
        </w:tc>
      </w:tr>
      <w:tr w:rsidR="00CE1079" w:rsidRPr="006F666B" w:rsidTr="0085222B">
        <w:tc>
          <w:tcPr>
            <w:tcW w:w="141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CE1079" w:rsidRPr="00CE1079" w:rsidRDefault="00CE1079" w:rsidP="00F8759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proofErr w:type="gramStart"/>
            <w:r w:rsidRPr="00CE1079">
              <w:rPr>
                <w:rFonts w:eastAsia="標楷體" w:hint="eastAsia"/>
                <w:szCs w:val="24"/>
              </w:rPr>
              <w:t>臺</w:t>
            </w:r>
            <w:proofErr w:type="gramEnd"/>
            <w:r w:rsidRPr="00CE1079">
              <w:rPr>
                <w:rFonts w:eastAsia="標楷體" w:hint="eastAsia"/>
                <w:szCs w:val="24"/>
              </w:rPr>
              <w:t>語文學的書寫</w:t>
            </w:r>
            <w:proofErr w:type="gramStart"/>
            <w:r w:rsidRPr="00CE1079">
              <w:rPr>
                <w:rFonts w:ascii="標楷體" w:eastAsia="標楷體" w:hAnsi="標楷體" w:hint="eastAsia"/>
                <w:szCs w:val="24"/>
              </w:rPr>
              <w:t>佮</w:t>
            </w:r>
            <w:proofErr w:type="gramEnd"/>
            <w:r w:rsidRPr="00CE1079">
              <w:rPr>
                <w:rFonts w:eastAsia="標楷體" w:hint="eastAsia"/>
                <w:szCs w:val="24"/>
              </w:rPr>
              <w:t>欣賞</w:t>
            </w:r>
            <w:proofErr w:type="gramStart"/>
            <w:r w:rsidRPr="00CE1079">
              <w:rPr>
                <w:rFonts w:ascii="新細明體" w:hAnsi="新細明體" w:hint="eastAsia"/>
                <w:szCs w:val="24"/>
              </w:rPr>
              <w:t>─</w:t>
            </w:r>
            <w:proofErr w:type="gramEnd"/>
            <w:r w:rsidRPr="00CE1079">
              <w:rPr>
                <w:rFonts w:eastAsia="標楷體" w:hint="eastAsia"/>
                <w:szCs w:val="24"/>
              </w:rPr>
              <w:t>逐家來讀</w:t>
            </w:r>
            <w:r w:rsidRPr="00CE1079">
              <w:rPr>
                <w:rFonts w:ascii="標楷體" w:eastAsia="標楷體" w:hAnsi="標楷體" w:hint="eastAsia"/>
                <w:szCs w:val="24"/>
              </w:rPr>
              <w:t>《臺江臺語文學》</w:t>
            </w:r>
          </w:p>
        </w:tc>
        <w:tc>
          <w:tcPr>
            <w:tcW w:w="3260" w:type="dxa"/>
            <w:vAlign w:val="center"/>
          </w:tcPr>
          <w:p w:rsidR="00CE1079" w:rsidRPr="00CE1079" w:rsidRDefault="00CE1079" w:rsidP="00CE1079">
            <w:pPr>
              <w:jc w:val="center"/>
              <w:rPr>
                <w:rFonts w:eastAsia="標楷體" w:hint="eastAsia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國立成功大學中國文學系</w:t>
            </w:r>
            <w:r w:rsidRPr="00CE1079">
              <w:rPr>
                <w:rFonts w:eastAsia="標楷體" w:hint="eastAsia"/>
                <w:szCs w:val="24"/>
              </w:rPr>
              <w:t xml:space="preserve"> </w:t>
            </w:r>
          </w:p>
          <w:p w:rsidR="00CE1079" w:rsidRPr="006F666B" w:rsidRDefault="00CE1079" w:rsidP="00CE1079">
            <w:pPr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施炳華教授</w:t>
            </w:r>
          </w:p>
        </w:tc>
      </w:tr>
      <w:tr w:rsidR="00CE1079" w:rsidRPr="006F666B" w:rsidTr="0085222B">
        <w:tc>
          <w:tcPr>
            <w:tcW w:w="141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CE1079" w:rsidRPr="00CE1079" w:rsidRDefault="00CE1079" w:rsidP="00F8759A">
            <w:pPr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臺灣文學史書寫與殖民地</w:t>
            </w:r>
          </w:p>
        </w:tc>
        <w:tc>
          <w:tcPr>
            <w:tcW w:w="3260" w:type="dxa"/>
            <w:vAlign w:val="center"/>
          </w:tcPr>
          <w:p w:rsidR="00CE1079" w:rsidRPr="00CE1079" w:rsidRDefault="00CE1079" w:rsidP="00CE1079">
            <w:pPr>
              <w:jc w:val="center"/>
              <w:rPr>
                <w:rFonts w:eastAsia="標楷體" w:hint="eastAsia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中研院臺灣史研究所</w:t>
            </w:r>
          </w:p>
          <w:p w:rsidR="00CE1079" w:rsidRPr="006F666B" w:rsidRDefault="00CE1079" w:rsidP="00CE1079">
            <w:pPr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陳培豐副研究員</w:t>
            </w:r>
          </w:p>
        </w:tc>
      </w:tr>
      <w:tr w:rsidR="00CE1079" w:rsidRPr="006F666B" w:rsidTr="0085222B">
        <w:tc>
          <w:tcPr>
            <w:tcW w:w="141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CE1079" w:rsidRPr="006F666B" w:rsidRDefault="00CE1079" w:rsidP="006F66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CE1079" w:rsidRPr="00CE1079" w:rsidRDefault="00CE1079" w:rsidP="00F8759A">
            <w:pPr>
              <w:jc w:val="center"/>
              <w:rPr>
                <w:rFonts w:eastAsia="標楷體"/>
                <w:szCs w:val="24"/>
              </w:rPr>
            </w:pPr>
            <w:r w:rsidRPr="00CE1079">
              <w:rPr>
                <w:rFonts w:eastAsia="標楷體" w:hint="eastAsia"/>
                <w:szCs w:val="24"/>
              </w:rPr>
              <w:t>水下文化資產</w:t>
            </w:r>
            <w:r w:rsidRPr="00CE1079">
              <w:rPr>
                <w:rFonts w:eastAsia="標楷體"/>
                <w:szCs w:val="24"/>
              </w:rPr>
              <w:t>(</w:t>
            </w:r>
            <w:r w:rsidRPr="00CE1079">
              <w:rPr>
                <w:rFonts w:eastAsia="標楷體" w:hint="eastAsia"/>
                <w:szCs w:val="24"/>
              </w:rPr>
              <w:t>暫定</w:t>
            </w:r>
            <w:r w:rsidRPr="00CE1079">
              <w:rPr>
                <w:rFonts w:eastAsia="標楷體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CE1079" w:rsidRDefault="00CE1079" w:rsidP="0085222B">
            <w:pPr>
              <w:jc w:val="center"/>
              <w:rPr>
                <w:rFonts w:ascii="標楷體" w:eastAsia="MS Mincho" w:hAnsi="標楷體" w:hint="eastAsia"/>
                <w:szCs w:val="24"/>
                <w:lang w:eastAsia="ja-JP"/>
              </w:rPr>
            </w:pPr>
            <w:r w:rsidRPr="00CE1079">
              <w:rPr>
                <w:rFonts w:ascii="標楷體" w:eastAsia="標楷體" w:hAnsi="標楷體" w:hint="eastAsia"/>
                <w:szCs w:val="24"/>
              </w:rPr>
              <w:t xml:space="preserve">中研院歷史語言研究所  </w:t>
            </w:r>
          </w:p>
          <w:p w:rsidR="00CE1079" w:rsidRPr="006F666B" w:rsidRDefault="00CE1079" w:rsidP="008522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1079">
              <w:rPr>
                <w:rFonts w:ascii="標楷體" w:eastAsia="標楷體" w:hAnsi="標楷體" w:hint="eastAsia"/>
                <w:szCs w:val="24"/>
              </w:rPr>
              <w:t>臧振華研究員</w:t>
            </w:r>
          </w:p>
        </w:tc>
      </w:tr>
    </w:tbl>
    <w:p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p w:rsidR="000D6793" w:rsidRPr="00A241A2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A241A2" w:rsidSect="00D7429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EF" w:rsidRDefault="00B352EF" w:rsidP="00E52BEE">
      <w:r>
        <w:separator/>
      </w:r>
    </w:p>
  </w:endnote>
  <w:endnote w:type="continuationSeparator" w:id="0">
    <w:p w:rsidR="00B352EF" w:rsidRDefault="00B352EF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79" w:rsidRPr="00CE1079">
          <w:rPr>
            <w:noProof/>
            <w:lang w:val="zh-TW"/>
          </w:rPr>
          <w:t>2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EF" w:rsidRDefault="00B352EF" w:rsidP="00E52BEE">
      <w:r>
        <w:separator/>
      </w:r>
    </w:p>
  </w:footnote>
  <w:footnote w:type="continuationSeparator" w:id="0">
    <w:p w:rsidR="00B352EF" w:rsidRDefault="00B352EF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580D"/>
    <w:rsid w:val="00020EC4"/>
    <w:rsid w:val="00022844"/>
    <w:rsid w:val="00037327"/>
    <w:rsid w:val="000723B8"/>
    <w:rsid w:val="00082937"/>
    <w:rsid w:val="00086A43"/>
    <w:rsid w:val="00091949"/>
    <w:rsid w:val="000B2799"/>
    <w:rsid w:val="000B3ADB"/>
    <w:rsid w:val="000D208A"/>
    <w:rsid w:val="000D60C5"/>
    <w:rsid w:val="000D6793"/>
    <w:rsid w:val="00185067"/>
    <w:rsid w:val="001C6280"/>
    <w:rsid w:val="001E3DCE"/>
    <w:rsid w:val="001F0403"/>
    <w:rsid w:val="00215A1A"/>
    <w:rsid w:val="00216952"/>
    <w:rsid w:val="002271F2"/>
    <w:rsid w:val="00230DF6"/>
    <w:rsid w:val="00241053"/>
    <w:rsid w:val="002768ED"/>
    <w:rsid w:val="00281AE7"/>
    <w:rsid w:val="002850BA"/>
    <w:rsid w:val="002C03BA"/>
    <w:rsid w:val="002C11C8"/>
    <w:rsid w:val="002D1C0C"/>
    <w:rsid w:val="002D6FFC"/>
    <w:rsid w:val="002F1B03"/>
    <w:rsid w:val="0030505C"/>
    <w:rsid w:val="00310016"/>
    <w:rsid w:val="00326D53"/>
    <w:rsid w:val="00335014"/>
    <w:rsid w:val="00345D55"/>
    <w:rsid w:val="0038572A"/>
    <w:rsid w:val="003874C0"/>
    <w:rsid w:val="003C4E04"/>
    <w:rsid w:val="003C7703"/>
    <w:rsid w:val="003D2F1D"/>
    <w:rsid w:val="003E4EE3"/>
    <w:rsid w:val="00405B69"/>
    <w:rsid w:val="00405BED"/>
    <w:rsid w:val="004161EE"/>
    <w:rsid w:val="0042314E"/>
    <w:rsid w:val="004379C6"/>
    <w:rsid w:val="00450137"/>
    <w:rsid w:val="00467CDF"/>
    <w:rsid w:val="00481B71"/>
    <w:rsid w:val="00496DEB"/>
    <w:rsid w:val="004B2643"/>
    <w:rsid w:val="004C529E"/>
    <w:rsid w:val="004D739D"/>
    <w:rsid w:val="004F4725"/>
    <w:rsid w:val="005367FA"/>
    <w:rsid w:val="00536DAB"/>
    <w:rsid w:val="00540A26"/>
    <w:rsid w:val="0054554A"/>
    <w:rsid w:val="00563E99"/>
    <w:rsid w:val="00574067"/>
    <w:rsid w:val="005750E5"/>
    <w:rsid w:val="0059750B"/>
    <w:rsid w:val="005A5B6A"/>
    <w:rsid w:val="005A5BD8"/>
    <w:rsid w:val="005D522A"/>
    <w:rsid w:val="005E50ED"/>
    <w:rsid w:val="00610051"/>
    <w:rsid w:val="006368E7"/>
    <w:rsid w:val="0064033D"/>
    <w:rsid w:val="00653850"/>
    <w:rsid w:val="00653AC9"/>
    <w:rsid w:val="006F666B"/>
    <w:rsid w:val="007400EC"/>
    <w:rsid w:val="00795F45"/>
    <w:rsid w:val="007C55F2"/>
    <w:rsid w:val="007D5E89"/>
    <w:rsid w:val="007F0A6E"/>
    <w:rsid w:val="00802145"/>
    <w:rsid w:val="00835DB3"/>
    <w:rsid w:val="00837542"/>
    <w:rsid w:val="0085222B"/>
    <w:rsid w:val="00860011"/>
    <w:rsid w:val="00894D61"/>
    <w:rsid w:val="00895433"/>
    <w:rsid w:val="00896582"/>
    <w:rsid w:val="008969E7"/>
    <w:rsid w:val="00896A70"/>
    <w:rsid w:val="008B107C"/>
    <w:rsid w:val="008C1176"/>
    <w:rsid w:val="008D3678"/>
    <w:rsid w:val="008E7684"/>
    <w:rsid w:val="00905F71"/>
    <w:rsid w:val="00911EB0"/>
    <w:rsid w:val="00950818"/>
    <w:rsid w:val="00984B2E"/>
    <w:rsid w:val="00992F0C"/>
    <w:rsid w:val="00A21F74"/>
    <w:rsid w:val="00A241A2"/>
    <w:rsid w:val="00A530CF"/>
    <w:rsid w:val="00B23C92"/>
    <w:rsid w:val="00B352EF"/>
    <w:rsid w:val="00B40129"/>
    <w:rsid w:val="00B60C18"/>
    <w:rsid w:val="00BC59F1"/>
    <w:rsid w:val="00BD11EA"/>
    <w:rsid w:val="00BE5A72"/>
    <w:rsid w:val="00BF269E"/>
    <w:rsid w:val="00BF71B8"/>
    <w:rsid w:val="00C66614"/>
    <w:rsid w:val="00C819DE"/>
    <w:rsid w:val="00CA05FB"/>
    <w:rsid w:val="00CB07F1"/>
    <w:rsid w:val="00CB61BE"/>
    <w:rsid w:val="00CC5FBC"/>
    <w:rsid w:val="00CC78D3"/>
    <w:rsid w:val="00CE1079"/>
    <w:rsid w:val="00CE1092"/>
    <w:rsid w:val="00CE4DB7"/>
    <w:rsid w:val="00CE637A"/>
    <w:rsid w:val="00CF6F4E"/>
    <w:rsid w:val="00D00BBF"/>
    <w:rsid w:val="00D03CCC"/>
    <w:rsid w:val="00D2222F"/>
    <w:rsid w:val="00D259C8"/>
    <w:rsid w:val="00D316AC"/>
    <w:rsid w:val="00D342E9"/>
    <w:rsid w:val="00D4719F"/>
    <w:rsid w:val="00D53590"/>
    <w:rsid w:val="00D704F7"/>
    <w:rsid w:val="00D74294"/>
    <w:rsid w:val="00D8166D"/>
    <w:rsid w:val="00D85D85"/>
    <w:rsid w:val="00DA252E"/>
    <w:rsid w:val="00DD65BA"/>
    <w:rsid w:val="00DE6892"/>
    <w:rsid w:val="00E03582"/>
    <w:rsid w:val="00E17825"/>
    <w:rsid w:val="00E25FAE"/>
    <w:rsid w:val="00E52BEE"/>
    <w:rsid w:val="00E548B8"/>
    <w:rsid w:val="00E8618B"/>
    <w:rsid w:val="00EA59E1"/>
    <w:rsid w:val="00EB76F7"/>
    <w:rsid w:val="00EE0F98"/>
    <w:rsid w:val="00EE1637"/>
    <w:rsid w:val="00F238AE"/>
    <w:rsid w:val="00F4167D"/>
    <w:rsid w:val="00FD7537"/>
    <w:rsid w:val="00FE1DE1"/>
    <w:rsid w:val="00FE2A0E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9F0D-7153-4124-9F55-D2141DC6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cp:lastPrinted>2014-02-10T06:13:00Z</cp:lastPrinted>
  <dcterms:created xsi:type="dcterms:W3CDTF">2012-08-21T03:41:00Z</dcterms:created>
  <dcterms:modified xsi:type="dcterms:W3CDTF">2014-04-30T02:47:00Z</dcterms:modified>
</cp:coreProperties>
</file>