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12" w:rsidRPr="00771512" w:rsidRDefault="00771512" w:rsidP="009069DE">
      <w:pPr>
        <w:ind w:leftChars="100" w:left="2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南市政府文化局</w:t>
      </w:r>
    </w:p>
    <w:p w:rsidR="00771512" w:rsidRPr="00771512" w:rsidRDefault="00771512" w:rsidP="0077151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1512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201</w:t>
      </w:r>
      <w:r>
        <w:rPr>
          <w:rFonts w:ascii="Times New Roman" w:eastAsia="新細明體" w:hAnsi="Times New Roman" w:cs="Times New Roman" w:hint="eastAsia"/>
          <w:b/>
          <w:sz w:val="32"/>
          <w:szCs w:val="32"/>
        </w:rPr>
        <w:t>7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年臺灣文化大學</w:t>
      </w:r>
      <w:r w:rsidR="002314F8">
        <w:rPr>
          <w:rFonts w:ascii="Times New Roman" w:eastAsia="標楷體" w:hAnsi="Times New Roman" w:cs="Times New Roman" w:hint="eastAsia"/>
          <w:b/>
          <w:sz w:val="32"/>
          <w:szCs w:val="32"/>
        </w:rPr>
        <w:t>歲時課程</w:t>
      </w:r>
      <w:proofErr w:type="gramStart"/>
      <w:r w:rsidR="002314F8">
        <w:rPr>
          <w:rFonts w:ascii="標楷體" w:eastAsia="標楷體" w:hAnsi="標楷體" w:cs="Times New Roman" w:hint="eastAsia"/>
          <w:b/>
          <w:sz w:val="32"/>
          <w:szCs w:val="32"/>
        </w:rPr>
        <w:t>─</w:t>
      </w:r>
      <w:r w:rsidR="002314F8" w:rsidRPr="002314F8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="002314F8" w:rsidRPr="002314F8">
        <w:rPr>
          <w:rFonts w:ascii="標楷體" w:eastAsia="標楷體" w:hAnsi="標楷體" w:cs="Times New Roman" w:hint="eastAsia"/>
          <w:b/>
          <w:sz w:val="32"/>
          <w:szCs w:val="32"/>
        </w:rPr>
        <w:t>南普度文化面面觀</w:t>
      </w:r>
      <w:r w:rsidR="002314F8"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="002314F8">
        <w:rPr>
          <w:rFonts w:ascii="標楷體" w:eastAsia="標楷體" w:hAnsi="標楷體" w:cs="Times New Roman" w:hint="eastAsia"/>
          <w:b/>
          <w:sz w:val="32"/>
          <w:szCs w:val="32"/>
        </w:rPr>
        <w:t>實施計畫</w:t>
      </w:r>
    </w:p>
    <w:p w:rsidR="001D6BCA" w:rsidRPr="001D6BCA" w:rsidRDefault="001D6BCA" w:rsidP="001D6BCA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辦理目的與宗旨：</w:t>
      </w:r>
    </w:p>
    <w:p w:rsidR="002314F8" w:rsidRDefault="002314F8" w:rsidP="002314F8">
      <w:pPr>
        <w:spacing w:line="480" w:lineRule="exact"/>
        <w:ind w:left="72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臺灣民間的「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中元普度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」習俗是傳統民間社會把道教中元祭祀和佛教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盂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蘭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盆會目連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救母的傳說揉合而成的祭祀習俗，一方面普施惡鬼，一方面祭奠亡魂，形成一種全國性、例行性、普遍性的民間節日祭儀習俗。雖然普度是一種全國性、例行性、普遍性的民間節日祭儀習俗，但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南地區卻保存著許多獨特而傳統的祭拜習俗，例如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孤棚祭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、米糕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栫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、蕹菜（蕹菜把或蕹菜水）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等祭習與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祭品，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南地區米糕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栫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的祭品文化是如何形成？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南人以蕹菜為祭品，是因為蕹菜是空心而象徵主人「無心留客」的民俗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意涵嗎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？安平港仔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尾社靈濟殿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的「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孤棚祭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」的普度習俗如何形成？有何傳說與特色？</w:t>
      </w:r>
    </w:p>
    <w:p w:rsidR="001D6BCA" w:rsidRPr="001D6BCA" w:rsidRDefault="002314F8" w:rsidP="002314F8">
      <w:pPr>
        <w:spacing w:line="480" w:lineRule="exact"/>
        <w:ind w:left="72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314F8">
        <w:rPr>
          <w:rFonts w:ascii="Times New Roman" w:eastAsia="標楷體" w:hAnsi="Times New Roman" w:cs="Times New Roman" w:hint="eastAsia"/>
          <w:sz w:val="28"/>
          <w:szCs w:val="28"/>
        </w:rPr>
        <w:t>透過「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南普度文化面面觀」歲時課程的研習，讓我們一起探究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南普度文化的特色，走向民間一起</w:t>
      </w:r>
      <w:proofErr w:type="gramStart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踏查歲時</w:t>
      </w:r>
      <w:proofErr w:type="gramEnd"/>
      <w:r w:rsidRPr="002314F8">
        <w:rPr>
          <w:rFonts w:ascii="Times New Roman" w:eastAsia="標楷體" w:hAnsi="Times New Roman" w:cs="Times New Roman" w:hint="eastAsia"/>
          <w:sz w:val="28"/>
          <w:szCs w:val="28"/>
        </w:rPr>
        <w:t>節慶期間常民的祭祀習俗與祭品意涵。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指導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主辦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南市政府文化局</w:t>
      </w:r>
      <w:r w:rsidR="0004694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國立</w:t>
      </w:r>
      <w:proofErr w:type="gramStart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南大學</w:t>
      </w:r>
      <w:proofErr w:type="gramStart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臺南學</w:t>
      </w:r>
      <w:proofErr w:type="gramEnd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研究中心</w:t>
      </w:r>
    </w:p>
    <w:p w:rsidR="001D6BCA" w:rsidRPr="00B3764B" w:rsidRDefault="001D6BCA" w:rsidP="001D6BCA">
      <w:pPr>
        <w:spacing w:line="480" w:lineRule="exact"/>
        <w:ind w:leftChars="296" w:left="2127" w:hangingChars="506" w:hanging="1417"/>
        <w:rPr>
          <w:rFonts w:ascii="Times New Roman" w:hAnsi="Times New Roman" w:cs="Times New Roman"/>
          <w:color w:val="000000"/>
          <w:sz w:val="28"/>
          <w:szCs w:val="28"/>
        </w:rPr>
      </w:pPr>
      <w:r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9B1EDF" w:rsidRPr="009B1ED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南瀛國際人文社會科學研究中心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活動</w:t>
      </w:r>
      <w:r w:rsidR="000F4BA3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主題及</w:t>
      </w: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內容：</w:t>
      </w:r>
    </w:p>
    <w:p w:rsidR="00927629" w:rsidRPr="00927629" w:rsidRDefault="00700E25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2762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主題</w:t>
      </w:r>
      <w:r w:rsidRPr="00927629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proofErr w:type="gramStart"/>
      <w:r w:rsidR="002314F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314F8">
        <w:rPr>
          <w:rFonts w:ascii="標楷體" w:eastAsia="標楷體" w:hAnsi="標楷體" w:hint="eastAsia"/>
          <w:sz w:val="28"/>
          <w:szCs w:val="28"/>
        </w:rPr>
        <w:t>南</w:t>
      </w:r>
      <w:r w:rsidR="002314F8" w:rsidRPr="002314F8">
        <w:rPr>
          <w:rFonts w:ascii="標楷體" w:eastAsia="標楷體" w:hAnsi="標楷體" w:hint="eastAsia"/>
          <w:sz w:val="28"/>
          <w:szCs w:val="32"/>
        </w:rPr>
        <w:t>普度文化面面觀</w:t>
      </w:r>
    </w:p>
    <w:p w:rsidR="001D6BCA" w:rsidRPr="001D6BCA" w:rsidRDefault="009F02BB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內容</w:t>
      </w:r>
      <w:r w:rsidR="001126D2" w:rsidRPr="001126D2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r w:rsidR="00D06D4D" w:rsidRPr="00D06D4D">
        <w:rPr>
          <w:rFonts w:ascii="標楷體" w:eastAsia="標楷體" w:hAnsi="標楷體" w:cs="Times New Roman" w:hint="eastAsia"/>
          <w:color w:val="000000"/>
          <w:kern w:val="0"/>
          <w:sz w:val="28"/>
          <w:szCs w:val="24"/>
        </w:rPr>
        <w:t>以</w:t>
      </w:r>
      <w:proofErr w:type="gramStart"/>
      <w:r w:rsidR="00D06D4D" w:rsidRPr="00D06D4D">
        <w:rPr>
          <w:rFonts w:ascii="標楷體" w:eastAsia="標楷體" w:hAnsi="標楷體" w:hint="eastAsia"/>
          <w:kern w:val="0"/>
          <w:sz w:val="28"/>
          <w:szCs w:val="24"/>
        </w:rPr>
        <w:t>臺</w:t>
      </w:r>
      <w:proofErr w:type="gramEnd"/>
      <w:r w:rsidR="00D06D4D" w:rsidRPr="00D06D4D">
        <w:rPr>
          <w:rFonts w:ascii="標楷體" w:eastAsia="標楷體" w:hAnsi="標楷體" w:hint="eastAsia"/>
          <w:kern w:val="0"/>
          <w:sz w:val="28"/>
          <w:szCs w:val="24"/>
        </w:rPr>
        <w:t>南地區普度文化、</w:t>
      </w:r>
      <w:r w:rsidR="00D06D4D" w:rsidRPr="00D06D4D">
        <w:rPr>
          <w:rStyle w:val="st1"/>
          <w:rFonts w:ascii="標楷體" w:eastAsia="標楷體" w:hAnsi="標楷體" w:cs="Arial" w:hint="eastAsia"/>
          <w:sz w:val="28"/>
          <w:szCs w:val="24"/>
        </w:rPr>
        <w:t>祭儀</w:t>
      </w:r>
      <w:r w:rsidR="00D06D4D" w:rsidRPr="00D06D4D">
        <w:rPr>
          <w:rStyle w:val="st1"/>
          <w:rFonts w:ascii="標楷體" w:eastAsia="標楷體" w:hAnsi="標楷體" w:cs="Arial"/>
          <w:sz w:val="28"/>
          <w:szCs w:val="24"/>
        </w:rPr>
        <w:t>習俗</w:t>
      </w:r>
      <w:r w:rsidR="00D06D4D" w:rsidRPr="00D06D4D">
        <w:rPr>
          <w:rFonts w:ascii="標楷體" w:eastAsia="標楷體" w:hAnsi="標楷體" w:hint="eastAsia"/>
          <w:kern w:val="0"/>
          <w:sz w:val="28"/>
          <w:szCs w:val="24"/>
        </w:rPr>
        <w:t>、祭品特色等議題進行課程</w:t>
      </w:r>
      <w:r w:rsidR="00D06D4D" w:rsidRPr="00D06D4D">
        <w:rPr>
          <w:rFonts w:ascii="標楷體" w:eastAsia="標楷體" w:hAnsi="標楷體" w:cs="Times New Roman" w:hint="eastAsia"/>
          <w:color w:val="000000"/>
          <w:kern w:val="0"/>
          <w:sz w:val="28"/>
          <w:szCs w:val="24"/>
        </w:rPr>
        <w:t>專題講座探討，並於校外普度場域進行實際田野踏查、實地見學活動。</w:t>
      </w:r>
    </w:p>
    <w:p w:rsidR="00823D1D" w:rsidRDefault="001D6BCA" w:rsidP="00CB1535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辦理時間與地點：</w:t>
      </w:r>
    </w:p>
    <w:p w:rsidR="001F5C19" w:rsidRPr="006C175F" w:rsidRDefault="00527CD2" w:rsidP="007F611C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時間：</w:t>
      </w:r>
      <w:r w:rsidRPr="007F611C">
        <w:rPr>
          <w:rFonts w:ascii="Times New Roman" w:eastAsia="標楷體" w:hAnsi="Times New Roman" w:cs="Times New Roman"/>
          <w:sz w:val="28"/>
          <w:szCs w:val="28"/>
        </w:rPr>
        <w:t>10</w:t>
      </w:r>
      <w:r w:rsidRPr="007F611C">
        <w:rPr>
          <w:rFonts w:ascii="Times New Roman" w:hAnsi="Times New Roman" w:cs="Times New Roman"/>
          <w:sz w:val="28"/>
          <w:szCs w:val="28"/>
        </w:rPr>
        <w:t>6</w:t>
      </w:r>
      <w:r w:rsidRPr="007F611C">
        <w:rPr>
          <w:rFonts w:ascii="Times New Roman" w:eastAsia="標楷體" w:hAnsi="Times New Roman" w:cs="Times New Roman"/>
          <w:sz w:val="28"/>
          <w:szCs w:val="28"/>
        </w:rPr>
        <w:t>年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月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日</w:t>
      </w:r>
      <w:r w:rsidRPr="007F611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6C175F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CE30AC" w:rsidRPr="007F611C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="007F611C">
        <w:rPr>
          <w:rFonts w:ascii="標楷體" w:eastAsia="標楷體" w:hAnsi="標楷體" w:cs="Times New Roman" w:hint="eastAsia"/>
          <w:sz w:val="28"/>
          <w:szCs w:val="28"/>
        </w:rPr>
        <w:t>─</w:t>
      </w:r>
      <w:proofErr w:type="gramEnd"/>
      <w:r w:rsidR="007F611C" w:rsidRPr="007F611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月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日</w:t>
      </w:r>
      <w:r w:rsidRPr="007F611C">
        <w:rPr>
          <w:rFonts w:ascii="Times New Roman" w:eastAsia="標楷體" w:hAnsi="Times New Roman" w:cs="Times New Roman"/>
          <w:sz w:val="28"/>
          <w:szCs w:val="28"/>
        </w:rPr>
        <w:t>(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7F611C">
        <w:rPr>
          <w:rFonts w:ascii="Times New Roman" w:eastAsia="標楷體" w:hAnsi="Times New Roman" w:cs="Times New Roman"/>
          <w:sz w:val="28"/>
          <w:szCs w:val="28"/>
        </w:rPr>
        <w:t>)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60731" w:rsidRPr="007F611C">
        <w:rPr>
          <w:rFonts w:ascii="Times New Roman" w:eastAsia="標楷體" w:hAnsi="Times New Roman" w:cs="Times New Roman"/>
          <w:sz w:val="28"/>
          <w:szCs w:val="28"/>
        </w:rPr>
        <w:t>，</w:t>
      </w:r>
      <w:r w:rsidRPr="007F611C">
        <w:rPr>
          <w:rFonts w:ascii="Times New Roman" w:eastAsia="標楷體" w:hAnsi="Times New Roman" w:cs="Times New Roman"/>
          <w:sz w:val="28"/>
          <w:szCs w:val="28"/>
        </w:rPr>
        <w:t>計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1F5C19" w:rsidRPr="007F611C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6C175F" w:rsidRPr="006C175F" w:rsidRDefault="006C175F" w:rsidP="006C175F">
      <w:pPr>
        <w:pStyle w:val="a4"/>
        <w:numPr>
          <w:ilvl w:val="1"/>
          <w:numId w:val="4"/>
        </w:numPr>
        <w:spacing w:line="48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28</w:t>
      </w:r>
      <w:r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29</w:t>
      </w:r>
      <w:r>
        <w:rPr>
          <w:rFonts w:ascii="Times New Roman" w:eastAsia="標楷體" w:hAnsi="Times New Roman" w:cs="Times New Roman" w:hint="eastAsia"/>
          <w:sz w:val="28"/>
          <w:szCs w:val="28"/>
        </w:rPr>
        <w:t>日為室內課程。</w:t>
      </w:r>
    </w:p>
    <w:p w:rsidR="006C175F" w:rsidRPr="006C175F" w:rsidRDefault="006C175F" w:rsidP="006C175F">
      <w:pPr>
        <w:pStyle w:val="a4"/>
        <w:numPr>
          <w:ilvl w:val="1"/>
          <w:numId w:val="4"/>
        </w:numPr>
        <w:spacing w:line="48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日為田野課程。</w:t>
      </w:r>
    </w:p>
    <w:p w:rsidR="00527CD2" w:rsidRP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室內課程地點：</w:t>
      </w:r>
      <w:r w:rsidRPr="00527CD2">
        <w:rPr>
          <w:rFonts w:ascii="Times New Roman" w:eastAsia="標楷體" w:hAnsi="Times New Roman" w:hint="eastAsia"/>
          <w:sz w:val="28"/>
          <w:szCs w:val="28"/>
        </w:rPr>
        <w:t>國立</w:t>
      </w:r>
      <w:proofErr w:type="gramStart"/>
      <w:r w:rsidRPr="00527CD2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527CD2">
        <w:rPr>
          <w:rFonts w:ascii="Times New Roman" w:eastAsia="標楷體" w:hAnsi="Times New Roman" w:hint="eastAsia"/>
          <w:sz w:val="28"/>
          <w:szCs w:val="28"/>
        </w:rPr>
        <w:t>南大學文</w:t>
      </w:r>
      <w:proofErr w:type="gramStart"/>
      <w:r w:rsidRPr="00527CD2">
        <w:rPr>
          <w:rFonts w:ascii="Times New Roman" w:eastAsia="標楷體" w:hAnsi="Times New Roman" w:hint="eastAsia"/>
          <w:sz w:val="28"/>
          <w:szCs w:val="28"/>
        </w:rPr>
        <w:t>薈</w:t>
      </w:r>
      <w:proofErr w:type="gramEnd"/>
      <w:r w:rsidRPr="00527CD2">
        <w:rPr>
          <w:rFonts w:ascii="Times New Roman" w:eastAsia="標楷體" w:hAnsi="Times New Roman" w:hint="eastAsia"/>
          <w:sz w:val="28"/>
          <w:szCs w:val="28"/>
        </w:rPr>
        <w:t>樓</w:t>
      </w:r>
      <w:r w:rsidRPr="00527CD2">
        <w:rPr>
          <w:rFonts w:ascii="Times New Roman" w:eastAsia="標楷體" w:hAnsi="Times New Roman" w:hint="eastAsia"/>
          <w:sz w:val="28"/>
          <w:szCs w:val="28"/>
        </w:rPr>
        <w:t>J</w:t>
      </w:r>
      <w:r w:rsidR="00782439">
        <w:rPr>
          <w:rFonts w:ascii="Times New Roman" w:eastAsia="標楷體" w:hAnsi="Times New Roman" w:hint="eastAsia"/>
          <w:sz w:val="28"/>
          <w:szCs w:val="28"/>
        </w:rPr>
        <w:t>B</w:t>
      </w:r>
      <w:r w:rsidRPr="00527CD2">
        <w:rPr>
          <w:rFonts w:ascii="Times New Roman" w:eastAsia="標楷體" w:hAnsi="Times New Roman" w:hint="eastAsia"/>
          <w:sz w:val="28"/>
          <w:szCs w:val="28"/>
        </w:rPr>
        <w:t>106</w:t>
      </w:r>
      <w:r w:rsidRPr="00527CD2">
        <w:rPr>
          <w:rFonts w:ascii="Times New Roman" w:eastAsia="標楷體" w:hAnsi="Times New Roman" w:hint="eastAsia"/>
          <w:sz w:val="28"/>
          <w:szCs w:val="28"/>
        </w:rPr>
        <w:t>教室。</w:t>
      </w:r>
    </w:p>
    <w:p w:rsid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田野課程地點：</w:t>
      </w:r>
      <w:r>
        <w:rPr>
          <w:rFonts w:ascii="Times New Roman" w:eastAsia="標楷體" w:hAnsi="Times New Roman" w:hint="eastAsia"/>
          <w:sz w:val="28"/>
          <w:szCs w:val="28"/>
        </w:rPr>
        <w:t>依授課講師規劃安排田調路線。</w:t>
      </w:r>
    </w:p>
    <w:p w:rsidR="0027792D" w:rsidRDefault="00A37C5D" w:rsidP="008C316F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報名條件與相關規定</w:t>
      </w:r>
    </w:p>
    <w:p w:rsidR="003E7448" w:rsidRDefault="00AE1291" w:rsidP="00ED0624">
      <w:pPr>
        <w:numPr>
          <w:ilvl w:val="0"/>
          <w:numId w:val="6"/>
        </w:numPr>
        <w:spacing w:line="480" w:lineRule="exact"/>
        <w:ind w:leftChars="117" w:left="11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報名資格：</w:t>
      </w:r>
    </w:p>
    <w:p w:rsidR="004B4CE5" w:rsidRDefault="00AE1291" w:rsidP="003E7448">
      <w:pPr>
        <w:pStyle w:val="a4"/>
        <w:numPr>
          <w:ilvl w:val="1"/>
          <w:numId w:val="4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48">
        <w:rPr>
          <w:rFonts w:ascii="Times New Roman" w:eastAsia="標楷體" w:hAnsi="Times New Roman" w:cs="Times New Roman"/>
          <w:sz w:val="28"/>
          <w:szCs w:val="28"/>
        </w:rPr>
        <w:t>年滿</w:t>
      </w:r>
      <w:r w:rsidRPr="003E7448">
        <w:rPr>
          <w:rFonts w:ascii="Times New Roman" w:eastAsia="標楷體" w:hAnsi="Times New Roman" w:cs="Times New Roman"/>
          <w:sz w:val="28"/>
          <w:szCs w:val="28"/>
        </w:rPr>
        <w:t>18</w:t>
      </w:r>
      <w:r w:rsidR="006C175F" w:rsidRPr="003E7448">
        <w:rPr>
          <w:rFonts w:ascii="Times New Roman" w:eastAsia="標楷體" w:hAnsi="Times New Roman" w:cs="Times New Roman"/>
          <w:sz w:val="28"/>
          <w:szCs w:val="28"/>
        </w:rPr>
        <w:t>歲以上對</w:t>
      </w:r>
      <w:proofErr w:type="gramStart"/>
      <w:r w:rsidR="006C175F" w:rsidRPr="003E7448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6C175F" w:rsidRPr="003E7448">
        <w:rPr>
          <w:rFonts w:ascii="Times New Roman" w:eastAsia="標楷體" w:hAnsi="Times New Roman" w:cs="Times New Roman" w:hint="eastAsia"/>
          <w:sz w:val="28"/>
          <w:szCs w:val="28"/>
        </w:rPr>
        <w:t>南</w:t>
      </w:r>
      <w:r w:rsidRPr="003E7448">
        <w:rPr>
          <w:rFonts w:ascii="Times New Roman" w:eastAsia="標楷體" w:hAnsi="Times New Roman" w:cs="Times New Roman"/>
          <w:sz w:val="28"/>
          <w:szCs w:val="28"/>
        </w:rPr>
        <w:t>文化歷史抱有興趣之民眾，</w:t>
      </w:r>
      <w:r w:rsidRPr="003E7448">
        <w:rPr>
          <w:rFonts w:ascii="Times New Roman" w:eastAsia="標楷體" w:hAnsi="Times New Roman" w:cs="Times New Roman" w:hint="eastAsia"/>
          <w:sz w:val="28"/>
          <w:szCs w:val="28"/>
        </w:rPr>
        <w:t>以招收</w:t>
      </w:r>
      <w:r w:rsidR="00ED0624" w:rsidRPr="003E744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3E7448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3E7448">
        <w:rPr>
          <w:rFonts w:ascii="Times New Roman" w:eastAsia="標楷體" w:hAnsi="Times New Roman" w:cs="Times New Roman" w:hint="eastAsia"/>
          <w:sz w:val="28"/>
          <w:szCs w:val="28"/>
        </w:rPr>
        <w:t>人為原則，未達</w:t>
      </w:r>
      <w:r w:rsidR="00ED0624" w:rsidRPr="003E7448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5822D6" w:rsidRPr="003E7448">
        <w:rPr>
          <w:rFonts w:ascii="Times New Roman" w:eastAsia="標楷體" w:hAnsi="Times New Roman" w:cs="Times New Roman" w:hint="eastAsia"/>
          <w:sz w:val="28"/>
          <w:szCs w:val="28"/>
        </w:rPr>
        <w:t>人不開課（報名先後次序為</w:t>
      </w:r>
      <w:proofErr w:type="gramStart"/>
      <w:r w:rsidR="005822D6" w:rsidRPr="003E7448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5822D6" w:rsidRPr="003E7448">
        <w:rPr>
          <w:rFonts w:ascii="Times New Roman" w:eastAsia="標楷體" w:hAnsi="Times New Roman" w:cs="Times New Roman" w:hint="eastAsia"/>
          <w:sz w:val="28"/>
          <w:szCs w:val="28"/>
        </w:rPr>
        <w:t>，額滿提前截止）。</w:t>
      </w:r>
    </w:p>
    <w:p w:rsidR="003E7448" w:rsidRPr="003E7448" w:rsidRDefault="003E7448" w:rsidP="003E7448">
      <w:pPr>
        <w:pStyle w:val="a4"/>
        <w:numPr>
          <w:ilvl w:val="1"/>
          <w:numId w:val="4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7448">
        <w:rPr>
          <w:rFonts w:ascii="Times New Roman" w:eastAsia="標楷體" w:hAnsi="Times New Roman" w:cs="Times New Roman" w:hint="eastAsia"/>
          <w:sz w:val="28"/>
          <w:szCs w:val="28"/>
        </w:rPr>
        <w:t>自備交通工具參與田野課程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3E7448">
        <w:rPr>
          <w:rFonts w:ascii="Times New Roman" w:eastAsia="標楷體" w:hAnsi="Times New Roman" w:cs="Times New Roman" w:hint="eastAsia"/>
          <w:sz w:val="28"/>
          <w:szCs w:val="28"/>
        </w:rPr>
        <w:t>自行車或機車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E1291" w:rsidRPr="00AE1291" w:rsidRDefault="00ED0624" w:rsidP="003E7448">
      <w:pPr>
        <w:numPr>
          <w:ilvl w:val="0"/>
          <w:numId w:val="4"/>
        </w:numPr>
        <w:spacing w:beforeLines="30" w:before="108" w:line="48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費用：</w:t>
      </w:r>
      <w:r w:rsidR="00AE1291" w:rsidRPr="00236D20">
        <w:rPr>
          <w:rFonts w:ascii="Times New Roman" w:eastAsia="標楷體" w:hAnsi="Times New Roman" w:cs="Times New Roman"/>
          <w:sz w:val="28"/>
          <w:szCs w:val="28"/>
        </w:rPr>
        <w:t>新臺幣</w:t>
      </w:r>
      <w:r w:rsidR="006C175F">
        <w:rPr>
          <w:rFonts w:ascii="Times New Roman" w:eastAsia="新細明體" w:hAnsi="Times New Roman" w:cs="Times New Roman" w:hint="eastAsia"/>
          <w:sz w:val="28"/>
          <w:szCs w:val="28"/>
        </w:rPr>
        <w:t>3</w:t>
      </w:r>
      <w:r w:rsidR="00AE1291" w:rsidRPr="00236D20">
        <w:rPr>
          <w:rFonts w:ascii="Times New Roman" w:eastAsia="MS Mincho" w:hAnsi="Times New Roman" w:cs="Times New Roman"/>
          <w:sz w:val="28"/>
          <w:szCs w:val="28"/>
        </w:rPr>
        <w:t>00</w:t>
      </w:r>
      <w:r w:rsidR="00AE1291" w:rsidRPr="00236D20">
        <w:rPr>
          <w:rFonts w:ascii="Times New Roman" w:eastAsia="標楷體" w:hAnsi="Times New Roman" w:cs="Times New Roman"/>
          <w:sz w:val="28"/>
          <w:szCs w:val="28"/>
        </w:rPr>
        <w:t>元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，用於</w:t>
      </w:r>
      <w:r w:rsidR="006B3287">
        <w:rPr>
          <w:rFonts w:ascii="Times New Roman" w:eastAsia="標楷體" w:hAnsi="Times New Roman" w:cs="Times New Roman" w:hint="eastAsia"/>
          <w:sz w:val="28"/>
          <w:szCs w:val="28"/>
        </w:rPr>
        <w:t>支付課程講義費</w:t>
      </w:r>
      <w:r w:rsidR="00C12A4C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；報名費請於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接獲錄取通知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後</w:t>
      </w:r>
      <w:r w:rsidR="00AE1291" w:rsidRPr="001F5C19">
        <w:rPr>
          <w:rFonts w:ascii="Times New Roman" w:eastAsia="標楷體" w:hAnsi="Times New Roman" w:cs="Times New Roman" w:hint="eastAsia"/>
          <w:sz w:val="28"/>
          <w:szCs w:val="28"/>
          <w:u w:val="double"/>
        </w:rPr>
        <w:t>3</w:t>
      </w:r>
      <w:r w:rsidR="00AE1291" w:rsidRPr="001F5C19">
        <w:rPr>
          <w:rFonts w:ascii="Times New Roman" w:eastAsia="標楷體" w:hAnsi="Times New Roman" w:cs="Times New Roman" w:hint="eastAsia"/>
          <w:sz w:val="28"/>
          <w:szCs w:val="28"/>
          <w:u w:val="double"/>
        </w:rPr>
        <w:t>個工作天內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以郵戳為憑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以郵局</w:t>
      </w:r>
      <w:proofErr w:type="gramStart"/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現金袋寄至</w:t>
      </w:r>
      <w:proofErr w:type="gramEnd"/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以下地址：</w:t>
      </w:r>
    </w:p>
    <w:p w:rsidR="00AE1291" w:rsidRPr="00AE1291" w:rsidRDefault="00AE1291" w:rsidP="00FD2E2B">
      <w:pPr>
        <w:spacing w:line="480" w:lineRule="exact"/>
        <w:ind w:left="114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 xml:space="preserve">73049 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南市新營區中正路</w:t>
      </w:r>
      <w:r w:rsidRPr="00AE1291">
        <w:rPr>
          <w:rFonts w:ascii="Times New Roman" w:eastAsia="標楷體" w:hAnsi="Times New Roman" w:cs="Times New Roman"/>
          <w:sz w:val="28"/>
          <w:szCs w:val="28"/>
        </w:rPr>
        <w:t>23</w:t>
      </w:r>
      <w:r w:rsidRPr="00AE1291">
        <w:rPr>
          <w:rFonts w:ascii="Times New Roman" w:eastAsia="標楷體" w:hAnsi="Times New Roman" w:cs="Times New Roman"/>
          <w:sz w:val="28"/>
          <w:szCs w:val="28"/>
        </w:rPr>
        <w:t>號</w:t>
      </w:r>
      <w:r w:rsidRPr="00AE1291">
        <w:rPr>
          <w:rFonts w:ascii="Times New Roman" w:eastAsia="標楷體" w:hAnsi="Times New Roman" w:cs="Times New Roman"/>
          <w:sz w:val="28"/>
          <w:szCs w:val="28"/>
        </w:rPr>
        <w:t>5</w:t>
      </w:r>
      <w:r w:rsidRPr="00AE1291">
        <w:rPr>
          <w:rFonts w:ascii="Times New Roman" w:eastAsia="標楷體" w:hAnsi="Times New Roman" w:cs="Times New Roman"/>
          <w:sz w:val="28"/>
          <w:szCs w:val="28"/>
        </w:rPr>
        <w:t>樓</w:t>
      </w:r>
      <w:r w:rsidR="0080257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E1291">
        <w:rPr>
          <w:rFonts w:ascii="Times New Roman" w:eastAsia="標楷體" w:hAnsi="Times New Roman" w:cs="Times New Roman"/>
          <w:sz w:val="28"/>
          <w:szCs w:val="28"/>
        </w:rPr>
        <w:t>(</w:t>
      </w:r>
      <w:r w:rsidRPr="00AE1291">
        <w:rPr>
          <w:rFonts w:ascii="Times New Roman" w:eastAsia="標楷體" w:hAnsi="Times New Roman" w:cs="Times New Roman"/>
          <w:sz w:val="28"/>
          <w:szCs w:val="28"/>
        </w:rPr>
        <w:t>文化局文化研究科</w:t>
      </w:r>
      <w:r w:rsidRPr="00AE1291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E1291" w:rsidRPr="00AE1291" w:rsidRDefault="00AE1291" w:rsidP="00FD2E2B">
      <w:pPr>
        <w:spacing w:line="480" w:lineRule="exact"/>
        <w:ind w:left="114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另於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現金袋外註明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姓名。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逾期不以保留名額，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  <w:u w:val="double"/>
        </w:rPr>
        <w:t>繳費後恕不予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  <w:u w:val="double"/>
        </w:rPr>
        <w:t>退費</w:t>
      </w:r>
      <w:r w:rsidRPr="00AE129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E1291" w:rsidRPr="00AE1291" w:rsidRDefault="00AE1291" w:rsidP="003E7448">
      <w:pPr>
        <w:numPr>
          <w:ilvl w:val="0"/>
          <w:numId w:val="4"/>
        </w:numPr>
        <w:spacing w:beforeLines="30" w:before="108" w:line="48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AE1291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：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請至臺灣文化</w:t>
      </w:r>
      <w:proofErr w:type="gramStart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大學官網</w:t>
      </w:r>
      <w:proofErr w:type="gramEnd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twcu.culture.tainan.gov.tw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報名。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報名聯絡人：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南市政府文化局文化研究科</w:t>
      </w:r>
      <w:r w:rsidRPr="00AE129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D3D48">
        <w:rPr>
          <w:rFonts w:ascii="Times New Roman" w:eastAsia="標楷體" w:hAnsi="Times New Roman" w:cs="Times New Roman" w:hint="eastAsia"/>
          <w:sz w:val="28"/>
          <w:szCs w:val="28"/>
        </w:rPr>
        <w:t>簡</w:t>
      </w:r>
      <w:r w:rsidRPr="00AE1291"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AE1291" w:rsidRPr="00AE1291" w:rsidRDefault="00AE1291" w:rsidP="00AE1291">
      <w:p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AE1291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AE1291">
        <w:rPr>
          <w:rFonts w:ascii="Times New Roman" w:eastAsia="標楷體" w:hAnsi="Times New Roman" w:cs="Times New Roman"/>
          <w:sz w:val="28"/>
          <w:szCs w:val="28"/>
        </w:rPr>
        <w:t>06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）</w:t>
      </w:r>
      <w:r w:rsidR="00DC1B44">
        <w:rPr>
          <w:rFonts w:ascii="Times New Roman" w:eastAsia="標楷體" w:hAnsi="Times New Roman" w:cs="Times New Roman" w:hint="eastAsia"/>
          <w:sz w:val="28"/>
          <w:szCs w:val="28"/>
        </w:rPr>
        <w:t>632-4453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；</w:t>
      </w:r>
      <w:r w:rsidRPr="00AE1291">
        <w:rPr>
          <w:rFonts w:ascii="Times New Roman" w:eastAsia="標楷體" w:hAnsi="Times New Roman" w:cs="Times New Roman"/>
          <w:sz w:val="28"/>
          <w:szCs w:val="28"/>
        </w:rPr>
        <w:t>E-mail:</w:t>
      </w:r>
      <w:r w:rsidR="000D3D48">
        <w:rPr>
          <w:rFonts w:ascii="Times New Roman" w:eastAsia="標楷體" w:hAnsi="Times New Roman" w:cs="Times New Roman" w:hint="eastAsia"/>
          <w:sz w:val="28"/>
          <w:szCs w:val="28"/>
        </w:rPr>
        <w:t>doceuvas</w:t>
      </w:r>
      <w:r w:rsidRPr="00AE1291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:rsidR="008C316F" w:rsidRPr="00527CD2" w:rsidRDefault="008C316F" w:rsidP="00DF4C2A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課程表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暫訂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F5BFD" w:rsidRPr="00F263C3" w:rsidRDefault="006F7F7D" w:rsidP="009F5BFD">
      <w:pPr>
        <w:spacing w:beforeLines="50" w:before="1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 w:rsidR="009F5BFD" w:rsidRPr="00F263C3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28</w:t>
      </w:r>
      <w:r w:rsidR="009F5BFD">
        <w:rPr>
          <w:rFonts w:ascii="Times New Roman" w:eastAsia="標楷體" w:hAnsi="Times New Roman" w:cs="Times New Roman"/>
          <w:szCs w:val="24"/>
        </w:rPr>
        <w:t>日（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 w:rsidR="009F5BFD" w:rsidRPr="00F263C3">
        <w:rPr>
          <w:rFonts w:ascii="Times New Roman" w:eastAsia="標楷體" w:hAnsi="Times New Roman" w:cs="Times New Roman"/>
          <w:szCs w:val="24"/>
        </w:rPr>
        <w:t>）室內課程</w:t>
      </w:r>
      <w:r w:rsidR="00344FE1">
        <w:rPr>
          <w:rFonts w:ascii="Times New Roman" w:eastAsia="標楷體" w:hAnsi="Times New Roman" w:cs="Times New Roman" w:hint="eastAsia"/>
          <w:szCs w:val="24"/>
        </w:rPr>
        <w:t>I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439"/>
        <w:gridCol w:w="4147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4147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4E595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4E595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9F5BFD" w:rsidRPr="005E3177" w:rsidTr="00C057EB">
        <w:trPr>
          <w:trHeight w:val="558"/>
          <w:jc w:val="center"/>
        </w:trPr>
        <w:tc>
          <w:tcPr>
            <w:tcW w:w="1808" w:type="dxa"/>
            <w:vMerge w:val="restart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200A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4E595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4C200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  <w:r w:rsidR="004E595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4E595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4E595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vMerge w:val="restart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始業式</w:t>
            </w: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9F5BFD" w:rsidRDefault="004E5951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南大學</w:t>
            </w:r>
          </w:p>
          <w:p w:rsidR="004E5951" w:rsidRPr="005E3177" w:rsidRDefault="0082157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4E5951">
              <w:rPr>
                <w:rFonts w:ascii="Times New Roman" w:eastAsia="標楷體" w:hAnsi="Times New Roman" w:cs="Times New Roman" w:hint="eastAsia"/>
                <w:szCs w:val="24"/>
              </w:rPr>
              <w:t>黃宗顯</w:t>
            </w:r>
          </w:p>
        </w:tc>
      </w:tr>
      <w:tr w:rsidR="009F5BFD" w:rsidRPr="005E3177" w:rsidTr="00C057EB">
        <w:trPr>
          <w:trHeight w:val="558"/>
          <w:jc w:val="center"/>
        </w:trPr>
        <w:tc>
          <w:tcPr>
            <w:tcW w:w="1808" w:type="dxa"/>
            <w:vMerge/>
            <w:vAlign w:val="center"/>
          </w:tcPr>
          <w:p w:rsidR="009F5BFD" w:rsidRPr="004C200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39" w:type="dxa"/>
            <w:vMerge/>
            <w:vAlign w:val="center"/>
          </w:tcPr>
          <w:p w:rsidR="009F5BFD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4E5951" w:rsidRPr="004E5951" w:rsidRDefault="004E5951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5951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4E5951">
              <w:rPr>
                <w:rFonts w:ascii="Times New Roman" w:eastAsia="標楷體" w:hAnsi="Times New Roman" w:cs="Times New Roman" w:hint="eastAsia"/>
                <w:szCs w:val="24"/>
              </w:rPr>
              <w:t>南市政府文化局</w:t>
            </w:r>
          </w:p>
          <w:p w:rsidR="009F5BFD" w:rsidRPr="002E2783" w:rsidRDefault="0082157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局長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葉澤山</w:t>
            </w:r>
          </w:p>
        </w:tc>
      </w:tr>
      <w:tr w:rsidR="009F5BFD" w:rsidRPr="005E3177" w:rsidTr="00BD11F4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176C42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BF365B" w:rsidRDefault="00BF365B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65B">
              <w:rPr>
                <w:rFonts w:ascii="Times New Roman" w:eastAsia="標楷體" w:hAnsi="Times New Roman" w:cs="Times New Roman" w:hint="eastAsia"/>
                <w:szCs w:val="24"/>
              </w:rPr>
              <w:t>米糕</w:t>
            </w:r>
            <w:proofErr w:type="gramStart"/>
            <w:r w:rsidRPr="00BF365B">
              <w:rPr>
                <w:rFonts w:ascii="Times New Roman" w:eastAsia="標楷體" w:hAnsi="Times New Roman" w:cs="Times New Roman" w:hint="eastAsia"/>
                <w:szCs w:val="24"/>
              </w:rPr>
              <w:t>栫</w:t>
            </w:r>
            <w:r w:rsidRPr="00BF365B">
              <w:rPr>
                <w:rFonts w:ascii="Times New Roman" w:eastAsia="標楷體" w:hAnsi="Times New Roman" w:cs="Times New Roman" w:hint="cs"/>
                <w:szCs w:val="24"/>
              </w:rPr>
              <w:t>――</w:t>
            </w:r>
            <w:proofErr w:type="gramEnd"/>
          </w:p>
          <w:p w:rsidR="009F5BFD" w:rsidRPr="005E3177" w:rsidRDefault="00BF365B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65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一種專屬於府城獨特的普度祭品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BF365B" w:rsidRPr="00BF365B" w:rsidRDefault="00BF365B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BF365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國立</w:t>
            </w:r>
            <w:proofErr w:type="gramStart"/>
            <w:r w:rsidRPr="00BF365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臺</w:t>
            </w:r>
            <w:proofErr w:type="gramEnd"/>
            <w:r w:rsidRPr="00BF365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南大學文化與自然資源學系</w:t>
            </w:r>
          </w:p>
          <w:p w:rsidR="009F5BFD" w:rsidRPr="005E3177" w:rsidRDefault="00BF365B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65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教授兼人文與社會學院院長</w:t>
            </w:r>
            <w:r w:rsidRPr="00BF365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r w:rsidRPr="00BF365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戴文鋒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vAlign w:val="center"/>
          </w:tcPr>
          <w:p w:rsidR="009F5BFD" w:rsidRPr="005E3177" w:rsidRDefault="008A7DC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講題未定</w:t>
            </w:r>
          </w:p>
        </w:tc>
        <w:tc>
          <w:tcPr>
            <w:tcW w:w="4147" w:type="dxa"/>
            <w:vAlign w:val="center"/>
          </w:tcPr>
          <w:p w:rsidR="008A7DCF" w:rsidRPr="008A7DCF" w:rsidRDefault="008A7DC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7DCF">
              <w:rPr>
                <w:rFonts w:ascii="Times New Roman" w:eastAsia="標楷體" w:hAnsi="Times New Roman" w:cs="Times New Roman" w:hint="eastAsia"/>
                <w:szCs w:val="24"/>
              </w:rPr>
              <w:t>中央研究院民族學研究所</w:t>
            </w:r>
          </w:p>
          <w:p w:rsidR="009F5BFD" w:rsidRPr="005E3177" w:rsidRDefault="008A7DC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7DCF">
              <w:rPr>
                <w:rFonts w:ascii="Times New Roman" w:eastAsia="標楷體" w:hAnsi="Times New Roman" w:cs="Times New Roman" w:hint="eastAsia"/>
                <w:szCs w:val="24"/>
              </w:rPr>
              <w:t>兼任副研究員</w:t>
            </w:r>
            <w:r w:rsidRPr="008A7DC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A7DCF">
              <w:rPr>
                <w:rFonts w:ascii="Times New Roman" w:eastAsia="標楷體" w:hAnsi="Times New Roman" w:cs="Times New Roman" w:hint="eastAsia"/>
                <w:szCs w:val="24"/>
              </w:rPr>
              <w:t>葉春</w:t>
            </w:r>
            <w:bookmarkStart w:id="0" w:name="_GoBack"/>
            <w:bookmarkEnd w:id="0"/>
            <w:r w:rsidRPr="008A7DCF">
              <w:rPr>
                <w:rFonts w:ascii="Times New Roman" w:eastAsia="標楷體" w:hAnsi="Times New Roman" w:cs="Times New Roman" w:hint="eastAsia"/>
                <w:szCs w:val="24"/>
              </w:rPr>
              <w:t>榮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9F5BFD" w:rsidRPr="00EE6310" w:rsidTr="003F2AB5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lastRenderedPageBreak/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F6431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>慶典美學與中元普度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F6431F" w:rsidRPr="00F6431F" w:rsidRDefault="00F6431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>真理大學宗教文化與組織管理學系</w:t>
            </w:r>
          </w:p>
          <w:p w:rsidR="009F5BFD" w:rsidRPr="005E3177" w:rsidRDefault="00F6431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>王鏡玲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E746B5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76C4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F6431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講題未定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F6431F" w:rsidRPr="00F6431F" w:rsidRDefault="00E746B5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46B5">
              <w:rPr>
                <w:rFonts w:ascii="Times New Roman" w:eastAsia="標楷體" w:hAnsi="Times New Roman" w:cs="Times New Roman" w:hint="eastAsia"/>
                <w:szCs w:val="24"/>
              </w:rPr>
              <w:t>耕</w:t>
            </w:r>
            <w:proofErr w:type="gramStart"/>
            <w:r w:rsidRPr="00E746B5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E746B5">
              <w:rPr>
                <w:rFonts w:ascii="Times New Roman" w:eastAsia="標楷體" w:hAnsi="Times New Roman" w:cs="Times New Roman" w:hint="eastAsia"/>
                <w:szCs w:val="24"/>
              </w:rPr>
              <w:t>居宗教民俗研究室主持人</w:t>
            </w:r>
          </w:p>
          <w:p w:rsidR="009F5BFD" w:rsidRPr="005E3177" w:rsidRDefault="00F6431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>民俗學者</w:t>
            </w: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6431F">
              <w:rPr>
                <w:rFonts w:ascii="Times New Roman" w:eastAsia="標楷體" w:hAnsi="Times New Roman" w:cs="Times New Roman" w:hint="eastAsia"/>
                <w:szCs w:val="24"/>
              </w:rPr>
              <w:t>謝宗榮</w:t>
            </w:r>
          </w:p>
        </w:tc>
      </w:tr>
    </w:tbl>
    <w:p w:rsidR="009F5BFD" w:rsidRDefault="009F5BFD" w:rsidP="009F5BFD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 w:rsidR="006F7F7D">
        <w:rPr>
          <w:rFonts w:ascii="Times New Roman" w:eastAsia="標楷體" w:hAnsi="Times New Roman" w:cs="Times New Roman" w:hint="eastAsia"/>
          <w:szCs w:val="24"/>
        </w:rPr>
        <w:t>29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="006F7F7D"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F951D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951D6">
        <w:rPr>
          <w:rFonts w:ascii="Times New Roman" w:eastAsia="標楷體" w:hAnsi="Times New Roman" w:cs="Times New Roman" w:hint="eastAsia"/>
          <w:szCs w:val="24"/>
        </w:rPr>
        <w:t>室內課程</w:t>
      </w:r>
      <w:r w:rsidR="00344FE1">
        <w:rPr>
          <w:rFonts w:ascii="Times New Roman" w:eastAsia="標楷體" w:hAnsi="Times New Roman" w:cs="Times New Roman" w:hint="eastAsia"/>
          <w:szCs w:val="24"/>
        </w:rPr>
        <w:t>II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439"/>
        <w:gridCol w:w="4147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4147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9428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594282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9428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9F5BFD" w:rsidRPr="005E3177" w:rsidTr="00BD11F4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594282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B52CC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一種普度祭品，意涵各自表述？</w:t>
            </w:r>
            <w:proofErr w:type="gramStart"/>
            <w:r w:rsidRPr="00B52CC6">
              <w:rPr>
                <w:rFonts w:ascii="Times New Roman" w:eastAsia="標楷體" w:hAnsi="Times New Roman" w:cs="Times New Roman" w:hint="cs"/>
                <w:szCs w:val="24"/>
              </w:rPr>
              <w:t>――</w:t>
            </w:r>
            <w:proofErr w:type="gramEnd"/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從</w:t>
            </w:r>
            <w:proofErr w:type="gramStart"/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南地區常見的普度祭品蕹菜水</w:t>
            </w:r>
            <w:r w:rsidRPr="00B52CC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蕹菜把談起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B52CC6" w:rsidRPr="00B52CC6" w:rsidRDefault="00B52CC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南大學人文與社會學院</w:t>
            </w:r>
          </w:p>
          <w:p w:rsidR="009F5BFD" w:rsidRPr="005E3177" w:rsidRDefault="00B52CC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院長</w:t>
            </w: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戴文鋒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55107D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9428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B52CC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安平十角頭社廟宇的普度祭典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B52CC6" w:rsidRPr="00B52CC6" w:rsidRDefault="00B52CC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南文化叢書撰寫者</w:t>
            </w:r>
          </w:p>
          <w:p w:rsidR="009F5BFD" w:rsidRPr="005E3177" w:rsidRDefault="00B52CC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民俗學者</w:t>
            </w: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52CC6">
              <w:rPr>
                <w:rFonts w:ascii="Times New Roman" w:eastAsia="標楷體" w:hAnsi="Times New Roman" w:cs="Times New Roman" w:hint="eastAsia"/>
                <w:szCs w:val="24"/>
              </w:rPr>
              <w:t>吳明勳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9428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F7F7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9F5BFD" w:rsidRPr="00EE6310" w:rsidTr="00CF1A28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F7F7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F7F7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CF1A2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F1A28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CF1A28">
              <w:rPr>
                <w:rFonts w:ascii="Times New Roman" w:eastAsia="標楷體" w:hAnsi="Times New Roman" w:cs="Times New Roman" w:hint="eastAsia"/>
                <w:szCs w:val="24"/>
              </w:rPr>
              <w:t>南道教普度科儀與內涵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9F5BFD" w:rsidRDefault="00DA23F5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A23F5">
              <w:rPr>
                <w:rFonts w:ascii="Times New Roman" w:eastAsia="標楷體" w:hAnsi="Times New Roman" w:cs="Times New Roman" w:hint="eastAsia"/>
                <w:szCs w:val="24"/>
              </w:rPr>
              <w:t>國立臺灣師範大學國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文</w:t>
            </w:r>
            <w:r w:rsidRPr="00DA23F5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</w:p>
          <w:p w:rsidR="00DA23F5" w:rsidRPr="005E3177" w:rsidRDefault="00ED63E0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63E0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  <w:r w:rsidRPr="00ED63E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D63E0">
              <w:rPr>
                <w:rFonts w:ascii="Times New Roman" w:eastAsia="標楷體" w:hAnsi="Times New Roman" w:cs="Times New Roman" w:hint="eastAsia"/>
                <w:szCs w:val="24"/>
              </w:rPr>
              <w:t>謝聰輝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F7F7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F7F7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A459C8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F7F7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F7F7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A459C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59C8">
              <w:rPr>
                <w:rFonts w:ascii="Times New Roman" w:eastAsia="標楷體" w:hAnsi="Times New Roman" w:cs="Times New Roman" w:hint="eastAsia"/>
                <w:szCs w:val="24"/>
              </w:rPr>
              <w:t>道教鬼神觀與中元普度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932DEF" w:rsidRPr="00932DEF" w:rsidRDefault="00932DE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國立政治大學宗教研究所</w:t>
            </w:r>
          </w:p>
          <w:p w:rsidR="009F5BFD" w:rsidRPr="005E3177" w:rsidRDefault="00932DE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ED63E0" w:rsidRPr="00ED63E0">
              <w:rPr>
                <w:rFonts w:ascii="Times New Roman" w:eastAsia="標楷體" w:hAnsi="Times New Roman" w:cs="Times New Roman" w:hint="eastAsia"/>
                <w:szCs w:val="24"/>
              </w:rPr>
              <w:t>退休講座教授</w:t>
            </w:r>
            <w:r w:rsidR="00ED63E0" w:rsidRPr="00ED63E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ED63E0" w:rsidRPr="00ED63E0">
              <w:rPr>
                <w:rFonts w:ascii="Times New Roman" w:eastAsia="標楷體" w:hAnsi="Times New Roman" w:cs="Times New Roman" w:hint="eastAsia"/>
                <w:szCs w:val="24"/>
              </w:rPr>
              <w:t>李豐</w:t>
            </w:r>
            <w:proofErr w:type="gramStart"/>
            <w:r w:rsidR="00ED63E0" w:rsidRPr="00ED63E0">
              <w:rPr>
                <w:rFonts w:ascii="Times New Roman" w:eastAsia="標楷體" w:hAnsi="Times New Roman" w:cs="Times New Roman" w:hint="eastAsia"/>
                <w:szCs w:val="24"/>
              </w:rPr>
              <w:t>楙</w:t>
            </w:r>
            <w:proofErr w:type="gramEnd"/>
          </w:p>
        </w:tc>
      </w:tr>
    </w:tbl>
    <w:p w:rsidR="009F5BFD" w:rsidRDefault="006F7F7D" w:rsidP="009F5BFD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 w:rsidR="009F5BFD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30</w:t>
      </w:r>
      <w:r w:rsidR="009F5BFD">
        <w:rPr>
          <w:rFonts w:ascii="Times New Roman" w:eastAsia="標楷體" w:hAnsi="Times New Roman" w:cs="Times New Roman" w:hint="eastAsia"/>
          <w:szCs w:val="24"/>
        </w:rPr>
        <w:t>日</w:t>
      </w:r>
      <w:r w:rsidR="009F5BFD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 w:rsidR="009F5BFD">
        <w:rPr>
          <w:rFonts w:ascii="Times New Roman" w:eastAsia="標楷體" w:hAnsi="Times New Roman" w:cs="Times New Roman" w:hint="eastAsia"/>
          <w:szCs w:val="24"/>
        </w:rPr>
        <w:t>)</w:t>
      </w:r>
      <w:r w:rsidR="00F951D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F5BFD">
        <w:rPr>
          <w:rFonts w:ascii="Times New Roman" w:eastAsia="標楷體" w:hAnsi="Times New Roman" w:cs="Times New Roman" w:hint="eastAsia"/>
          <w:szCs w:val="24"/>
        </w:rPr>
        <w:t>田野調查課程</w:t>
      </w:r>
      <w:r w:rsidR="00344FE1">
        <w:rPr>
          <w:rFonts w:ascii="Times New Roman" w:eastAsia="標楷體" w:hAnsi="Times New Roman" w:cs="Times New Roman" w:hint="eastAsia"/>
          <w:szCs w:val="24"/>
        </w:rPr>
        <w:t>I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793"/>
        <w:gridCol w:w="3793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609B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F40449" w:rsidRPr="005E3177" w:rsidTr="004E7969">
        <w:trPr>
          <w:trHeight w:val="1080"/>
          <w:jc w:val="center"/>
        </w:trPr>
        <w:tc>
          <w:tcPr>
            <w:tcW w:w="1808" w:type="dxa"/>
            <w:vMerge w:val="restart"/>
            <w:vAlign w:val="center"/>
          </w:tcPr>
          <w:p w:rsidR="00F40449" w:rsidRPr="005E3177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793" w:type="dxa"/>
            <w:vMerge w:val="restart"/>
            <w:shd w:val="clear" w:color="auto" w:fill="FDE9D9" w:themeFill="accent6" w:themeFillTint="33"/>
            <w:vAlign w:val="center"/>
          </w:tcPr>
          <w:p w:rsidR="00F40449" w:rsidRP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田野見學</w:t>
            </w:r>
            <w:proofErr w:type="gramStart"/>
            <w:r w:rsidRPr="00F40449">
              <w:rPr>
                <w:rFonts w:ascii="Times New Roman" w:eastAsia="標楷體" w:hAnsi="Times New Roman" w:cs="Times New Roman" w:hint="cs"/>
                <w:szCs w:val="24"/>
              </w:rPr>
              <w:t>――</w:t>
            </w:r>
            <w:proofErr w:type="gramEnd"/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安</w:t>
            </w:r>
            <w:proofErr w:type="gramStart"/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平靈濟殿孤</w:t>
            </w:r>
            <w:proofErr w:type="gramEnd"/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棚祭</w:t>
            </w:r>
          </w:p>
          <w:p w:rsidR="00F40449" w:rsidRPr="005E3177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（安平靈濟殿集合）</w:t>
            </w:r>
          </w:p>
        </w:tc>
        <w:tc>
          <w:tcPr>
            <w:tcW w:w="3793" w:type="dxa"/>
            <w:shd w:val="clear" w:color="auto" w:fill="FDE9D9" w:themeFill="accent6" w:themeFillTint="33"/>
            <w:vAlign w:val="center"/>
          </w:tcPr>
          <w:p w:rsidR="00F40449" w:rsidRP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戴文鋒</w:t>
            </w:r>
          </w:p>
          <w:p w:rsidR="00F40449" w:rsidRPr="005E3177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（國立</w:t>
            </w:r>
            <w:proofErr w:type="gramStart"/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南大學文化與自然資源學系教授兼人文與社會學院院長）</w:t>
            </w:r>
          </w:p>
        </w:tc>
      </w:tr>
      <w:tr w:rsidR="00F40449" w:rsidRPr="005E3177" w:rsidTr="004E7969">
        <w:trPr>
          <w:trHeight w:val="1080"/>
          <w:jc w:val="center"/>
        </w:trPr>
        <w:tc>
          <w:tcPr>
            <w:tcW w:w="1808" w:type="dxa"/>
            <w:vMerge/>
            <w:vAlign w:val="center"/>
          </w:tcPr>
          <w:p w:rsid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3" w:type="dxa"/>
            <w:vMerge/>
            <w:shd w:val="clear" w:color="auto" w:fill="FDE9D9" w:themeFill="accent6" w:themeFillTint="33"/>
            <w:vAlign w:val="center"/>
          </w:tcPr>
          <w:p w:rsidR="00F40449" w:rsidRP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3" w:type="dxa"/>
            <w:shd w:val="clear" w:color="auto" w:fill="FDE9D9" w:themeFill="accent6" w:themeFillTint="33"/>
            <w:vAlign w:val="center"/>
          </w:tcPr>
          <w:p w:rsidR="00F40449" w:rsidRP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王愛雯</w:t>
            </w:r>
          </w:p>
          <w:p w:rsidR="00F40449" w:rsidRP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（文史工作者、國立</w:t>
            </w:r>
            <w:proofErr w:type="gramStart"/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F40449">
              <w:rPr>
                <w:rFonts w:ascii="Times New Roman" w:eastAsia="標楷體" w:hAnsi="Times New Roman" w:cs="Times New Roman" w:hint="eastAsia"/>
                <w:szCs w:val="24"/>
              </w:rPr>
              <w:t>南大學臺灣文化研究所碩士）</w:t>
            </w:r>
          </w:p>
        </w:tc>
      </w:tr>
    </w:tbl>
    <w:p w:rsidR="00F40449" w:rsidRDefault="00F40449" w:rsidP="00F40449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9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田野調查課程</w:t>
      </w:r>
      <w:r w:rsidR="00344FE1">
        <w:rPr>
          <w:rFonts w:ascii="Times New Roman" w:eastAsia="標楷體" w:hAnsi="Times New Roman" w:cs="Times New Roman" w:hint="eastAsia"/>
          <w:szCs w:val="24"/>
        </w:rPr>
        <w:t>II (</w:t>
      </w:r>
      <w:r w:rsidR="00344FE1">
        <w:rPr>
          <w:rFonts w:ascii="Times New Roman" w:eastAsia="標楷體" w:hAnsi="Times New Roman" w:cs="Times New Roman" w:hint="eastAsia"/>
          <w:szCs w:val="24"/>
        </w:rPr>
        <w:t>第一梯次</w:t>
      </w:r>
      <w:r w:rsidR="00344FE1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793"/>
        <w:gridCol w:w="3793"/>
      </w:tblGrid>
      <w:tr w:rsidR="00F40449" w:rsidRPr="00E922EA" w:rsidTr="00D654A8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F40449" w:rsidRPr="00E922EA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F40449" w:rsidRPr="00E922EA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F40449" w:rsidRPr="00E922EA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609B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</w:p>
        </w:tc>
      </w:tr>
      <w:tr w:rsidR="00F40449" w:rsidRPr="005E3177" w:rsidTr="00D654A8">
        <w:trPr>
          <w:jc w:val="center"/>
        </w:trPr>
        <w:tc>
          <w:tcPr>
            <w:tcW w:w="1808" w:type="dxa"/>
            <w:vAlign w:val="center"/>
          </w:tcPr>
          <w:p w:rsidR="00F40449" w:rsidRPr="005E3177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F40449" w:rsidRPr="005E3177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F40449" w:rsidRPr="005E3177" w:rsidTr="004E7969">
        <w:trPr>
          <w:trHeight w:val="552"/>
          <w:jc w:val="center"/>
        </w:trPr>
        <w:tc>
          <w:tcPr>
            <w:tcW w:w="1808" w:type="dxa"/>
            <w:vMerge w:val="restart"/>
            <w:vAlign w:val="center"/>
          </w:tcPr>
          <w:p w:rsidR="00F40449" w:rsidRPr="005E3177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793" w:type="dxa"/>
            <w:vMerge w:val="restart"/>
            <w:shd w:val="clear" w:color="auto" w:fill="FDE9D9" w:themeFill="accent6" w:themeFillTint="33"/>
            <w:vAlign w:val="center"/>
          </w:tcPr>
          <w:p w:rsidR="00F40449" w:rsidRPr="005E3177" w:rsidRDefault="00344FE1" w:rsidP="00344F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4FE1">
              <w:rPr>
                <w:rFonts w:ascii="Times New Roman" w:eastAsia="標楷體" w:hAnsi="Times New Roman" w:cs="Times New Roman" w:hint="eastAsia"/>
                <w:szCs w:val="24"/>
              </w:rPr>
              <w:t>田野見學</w:t>
            </w:r>
            <w:proofErr w:type="gramStart"/>
            <w:r w:rsidR="00D07ED4" w:rsidRPr="00344FE1">
              <w:rPr>
                <w:rFonts w:ascii="Times New Roman" w:eastAsia="標楷體" w:hAnsi="Times New Roman" w:cs="Times New Roman" w:hint="cs"/>
                <w:szCs w:val="24"/>
              </w:rPr>
              <w:t>――</w:t>
            </w:r>
            <w:r w:rsidR="00D07ED4" w:rsidRPr="00344FE1">
              <w:rPr>
                <w:rFonts w:ascii="Times New Roman" w:eastAsia="標楷體" w:hAnsi="Times New Roman" w:cs="Times New Roman" w:hint="eastAsia"/>
                <w:szCs w:val="24"/>
              </w:rPr>
              <w:t>普濟殿前</w:t>
            </w:r>
            <w:proofErr w:type="gramEnd"/>
            <w:r w:rsidR="00D07ED4" w:rsidRPr="00344FE1">
              <w:rPr>
                <w:rFonts w:ascii="Times New Roman" w:eastAsia="標楷體" w:hAnsi="Times New Roman" w:cs="Times New Roman" w:hint="eastAsia"/>
                <w:szCs w:val="24"/>
              </w:rPr>
              <w:t>黃家米糕</w:t>
            </w:r>
            <w:proofErr w:type="gramStart"/>
            <w:r w:rsidR="00D07ED4" w:rsidRPr="00344FE1">
              <w:rPr>
                <w:rFonts w:ascii="Times New Roman" w:eastAsia="標楷體" w:hAnsi="Times New Roman" w:cs="Times New Roman" w:hint="eastAsia"/>
                <w:szCs w:val="24"/>
              </w:rPr>
              <w:t>栫</w:t>
            </w:r>
            <w:proofErr w:type="gramEnd"/>
            <w:r w:rsidR="00D07ED4" w:rsidRPr="00D07ED4">
              <w:rPr>
                <w:rFonts w:ascii="Times New Roman" w:eastAsia="標楷體" w:hAnsi="Times New Roman" w:cs="Times New Roman" w:hint="eastAsia"/>
                <w:szCs w:val="24"/>
              </w:rPr>
              <w:t>（育德三街承德活動中心對面黃銅山米糕</w:t>
            </w:r>
            <w:proofErr w:type="gramStart"/>
            <w:r w:rsidR="00D07ED4" w:rsidRPr="00D07ED4">
              <w:rPr>
                <w:rFonts w:ascii="Times New Roman" w:eastAsia="標楷體" w:hAnsi="Times New Roman" w:cs="Times New Roman" w:hint="eastAsia"/>
                <w:szCs w:val="24"/>
              </w:rPr>
              <w:t>栫</w:t>
            </w:r>
            <w:proofErr w:type="gramEnd"/>
            <w:r w:rsidR="00D07ED4" w:rsidRPr="00D07ED4">
              <w:rPr>
                <w:rFonts w:ascii="Times New Roman" w:eastAsia="標楷體" w:hAnsi="Times New Roman" w:cs="Times New Roman" w:hint="eastAsia"/>
                <w:szCs w:val="24"/>
              </w:rPr>
              <w:t>製作廣場集合）</w:t>
            </w:r>
          </w:p>
        </w:tc>
        <w:tc>
          <w:tcPr>
            <w:tcW w:w="3793" w:type="dxa"/>
            <w:shd w:val="clear" w:color="auto" w:fill="FDE9D9" w:themeFill="accent6" w:themeFillTint="33"/>
            <w:vAlign w:val="center"/>
          </w:tcPr>
          <w:p w:rsidR="00932DEF" w:rsidRPr="00932DEF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戴文鋒</w:t>
            </w:r>
          </w:p>
          <w:p w:rsidR="00F40449" w:rsidRPr="005E3177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（國立</w:t>
            </w:r>
            <w:proofErr w:type="gramStart"/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南大學文化與自然資源學系教授兼人文與社會學院院長）</w:t>
            </w:r>
          </w:p>
        </w:tc>
      </w:tr>
      <w:tr w:rsidR="00F40449" w:rsidRPr="005E3177" w:rsidTr="004E7969">
        <w:trPr>
          <w:trHeight w:val="552"/>
          <w:jc w:val="center"/>
        </w:trPr>
        <w:tc>
          <w:tcPr>
            <w:tcW w:w="1808" w:type="dxa"/>
            <w:vMerge/>
            <w:vAlign w:val="center"/>
          </w:tcPr>
          <w:p w:rsid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3" w:type="dxa"/>
            <w:vMerge/>
            <w:shd w:val="clear" w:color="auto" w:fill="FDE9D9" w:themeFill="accent6" w:themeFillTint="33"/>
            <w:vAlign w:val="center"/>
          </w:tcPr>
          <w:p w:rsidR="00F40449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3" w:type="dxa"/>
            <w:shd w:val="clear" w:color="auto" w:fill="FDE9D9" w:themeFill="accent6" w:themeFillTint="33"/>
            <w:vAlign w:val="center"/>
          </w:tcPr>
          <w:p w:rsidR="00932DEF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陳志昌</w:t>
            </w:r>
          </w:p>
          <w:p w:rsidR="00F40449" w:rsidRPr="005E3177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國立成功大學歷史學系博士候選人）</w:t>
            </w:r>
          </w:p>
        </w:tc>
      </w:tr>
    </w:tbl>
    <w:p w:rsidR="00F40449" w:rsidRDefault="00F40449" w:rsidP="00F40449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9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 w:rsidR="001F7BA2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="001F7BA2"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田野調查課程</w:t>
      </w:r>
      <w:r w:rsidR="00344FE1">
        <w:rPr>
          <w:rFonts w:ascii="Times New Roman" w:eastAsia="標楷體" w:hAnsi="Times New Roman" w:cs="Times New Roman" w:hint="eastAsia"/>
          <w:szCs w:val="24"/>
        </w:rPr>
        <w:t>II (</w:t>
      </w:r>
      <w:r w:rsidR="00344FE1">
        <w:rPr>
          <w:rFonts w:ascii="Times New Roman" w:eastAsia="標楷體" w:hAnsi="Times New Roman" w:cs="Times New Roman" w:hint="eastAsia"/>
          <w:szCs w:val="24"/>
        </w:rPr>
        <w:t>第二梯次</w:t>
      </w:r>
      <w:r w:rsidR="00344FE1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793"/>
        <w:gridCol w:w="3793"/>
      </w:tblGrid>
      <w:tr w:rsidR="00F40449" w:rsidRPr="00E922EA" w:rsidTr="00D654A8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F40449" w:rsidRPr="00E922EA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F40449" w:rsidRPr="00E922EA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F40449" w:rsidRPr="00E922EA" w:rsidRDefault="00F40449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609B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</w:p>
        </w:tc>
      </w:tr>
      <w:tr w:rsidR="001F7BA2" w:rsidRPr="005E3177" w:rsidTr="00D654A8">
        <w:trPr>
          <w:jc w:val="center"/>
        </w:trPr>
        <w:tc>
          <w:tcPr>
            <w:tcW w:w="1808" w:type="dxa"/>
            <w:vAlign w:val="center"/>
          </w:tcPr>
          <w:p w:rsidR="001F7BA2" w:rsidRPr="005E3177" w:rsidRDefault="001F7BA2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1F7BA2" w:rsidRPr="005E3177" w:rsidRDefault="001F7BA2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920C0F" w:rsidRPr="005E3177" w:rsidTr="004E7969">
        <w:trPr>
          <w:trHeight w:val="720"/>
          <w:jc w:val="center"/>
        </w:trPr>
        <w:tc>
          <w:tcPr>
            <w:tcW w:w="1808" w:type="dxa"/>
            <w:vMerge w:val="restart"/>
            <w:vAlign w:val="center"/>
          </w:tcPr>
          <w:p w:rsidR="00920C0F" w:rsidRPr="005E3177" w:rsidRDefault="00920C0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793" w:type="dxa"/>
            <w:vMerge w:val="restart"/>
            <w:shd w:val="clear" w:color="auto" w:fill="FDE9D9" w:themeFill="accent6" w:themeFillTint="33"/>
            <w:vAlign w:val="center"/>
          </w:tcPr>
          <w:p w:rsidR="00920C0F" w:rsidRPr="005E3177" w:rsidRDefault="00920C0F" w:rsidP="00344F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田野見學</w:t>
            </w:r>
            <w:proofErr w:type="gramStart"/>
            <w:r w:rsidRPr="00D07ED4">
              <w:rPr>
                <w:rFonts w:ascii="Times New Roman" w:eastAsia="標楷體" w:hAnsi="Times New Roman" w:cs="Times New Roman" w:hint="cs"/>
                <w:szCs w:val="24"/>
              </w:rPr>
              <w:t>――</w:t>
            </w:r>
            <w:r w:rsidRPr="00D07ED4">
              <w:rPr>
                <w:rFonts w:ascii="Times New Roman" w:eastAsia="標楷體" w:hAnsi="Times New Roman" w:cs="Times New Roman" w:hint="eastAsia"/>
                <w:szCs w:val="24"/>
              </w:rPr>
              <w:t>普濟殿前</w:t>
            </w:r>
            <w:proofErr w:type="gramEnd"/>
            <w:r w:rsidRPr="00D07ED4">
              <w:rPr>
                <w:rFonts w:ascii="Times New Roman" w:eastAsia="標楷體" w:hAnsi="Times New Roman" w:cs="Times New Roman" w:hint="eastAsia"/>
                <w:szCs w:val="24"/>
              </w:rPr>
              <w:t>黃家米糕</w:t>
            </w:r>
            <w:proofErr w:type="gramStart"/>
            <w:r w:rsidRPr="00D07ED4">
              <w:rPr>
                <w:rFonts w:ascii="Times New Roman" w:eastAsia="標楷體" w:hAnsi="Times New Roman" w:cs="Times New Roman" w:hint="eastAsia"/>
                <w:szCs w:val="24"/>
              </w:rPr>
              <w:t>栫</w:t>
            </w:r>
            <w:proofErr w:type="gramEnd"/>
            <w:r w:rsidRPr="00D07ED4">
              <w:rPr>
                <w:rFonts w:ascii="Times New Roman" w:eastAsia="標楷體" w:hAnsi="Times New Roman" w:cs="Times New Roman" w:hint="eastAsia"/>
                <w:szCs w:val="24"/>
              </w:rPr>
              <w:t>（育德三街承德活動中心對面黃銅山米糕</w:t>
            </w:r>
            <w:proofErr w:type="gramStart"/>
            <w:r w:rsidRPr="00D07ED4">
              <w:rPr>
                <w:rFonts w:ascii="Times New Roman" w:eastAsia="標楷體" w:hAnsi="Times New Roman" w:cs="Times New Roman" w:hint="eastAsia"/>
                <w:szCs w:val="24"/>
              </w:rPr>
              <w:t>栫</w:t>
            </w:r>
            <w:proofErr w:type="gramEnd"/>
            <w:r w:rsidRPr="00D07ED4">
              <w:rPr>
                <w:rFonts w:ascii="Times New Roman" w:eastAsia="標楷體" w:hAnsi="Times New Roman" w:cs="Times New Roman" w:hint="eastAsia"/>
                <w:szCs w:val="24"/>
              </w:rPr>
              <w:t>製作廣場集合）</w:t>
            </w:r>
          </w:p>
        </w:tc>
        <w:tc>
          <w:tcPr>
            <w:tcW w:w="3793" w:type="dxa"/>
            <w:shd w:val="clear" w:color="auto" w:fill="FDE9D9" w:themeFill="accent6" w:themeFillTint="33"/>
            <w:vAlign w:val="center"/>
          </w:tcPr>
          <w:p w:rsidR="00932DEF" w:rsidRPr="00932DEF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戴文鋒</w:t>
            </w:r>
          </w:p>
          <w:p w:rsidR="00920C0F" w:rsidRPr="005E3177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（國立</w:t>
            </w:r>
            <w:proofErr w:type="gramStart"/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南大學文化與自然資源學系教授兼人文與社會學院院長）</w:t>
            </w:r>
          </w:p>
        </w:tc>
      </w:tr>
      <w:tr w:rsidR="00920C0F" w:rsidRPr="005E3177" w:rsidTr="004E7969">
        <w:trPr>
          <w:trHeight w:val="720"/>
          <w:jc w:val="center"/>
        </w:trPr>
        <w:tc>
          <w:tcPr>
            <w:tcW w:w="1808" w:type="dxa"/>
            <w:vMerge/>
            <w:vAlign w:val="center"/>
          </w:tcPr>
          <w:p w:rsidR="00920C0F" w:rsidRDefault="00920C0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3" w:type="dxa"/>
            <w:vMerge/>
            <w:shd w:val="clear" w:color="auto" w:fill="FDE9D9" w:themeFill="accent6" w:themeFillTint="33"/>
            <w:vAlign w:val="center"/>
          </w:tcPr>
          <w:p w:rsidR="00920C0F" w:rsidRDefault="00920C0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3" w:type="dxa"/>
            <w:shd w:val="clear" w:color="auto" w:fill="FDE9D9" w:themeFill="accent6" w:themeFillTint="33"/>
            <w:vAlign w:val="center"/>
          </w:tcPr>
          <w:p w:rsidR="00821578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陳志昌</w:t>
            </w:r>
          </w:p>
          <w:p w:rsidR="00920C0F" w:rsidRPr="005E3177" w:rsidRDefault="00932DEF" w:rsidP="009179D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2DEF">
              <w:rPr>
                <w:rFonts w:ascii="Times New Roman" w:eastAsia="標楷體" w:hAnsi="Times New Roman" w:cs="Times New Roman" w:hint="eastAsia"/>
                <w:szCs w:val="24"/>
              </w:rPr>
              <w:t>（國立成功大學歷史學系博士候選人）</w:t>
            </w:r>
          </w:p>
        </w:tc>
      </w:tr>
    </w:tbl>
    <w:p w:rsidR="009F5BFD" w:rsidRPr="00D27B7A" w:rsidRDefault="009F5BFD" w:rsidP="009F5BFD">
      <w:pPr>
        <w:spacing w:line="299" w:lineRule="exact"/>
        <w:rPr>
          <w:rFonts w:ascii="Times New Roman" w:eastAsia="標楷體" w:hAnsi="Times New Roman" w:cs="Times New Roman"/>
          <w:kern w:val="0"/>
          <w:szCs w:val="24"/>
        </w:rPr>
      </w:pPr>
      <w:r w:rsidRPr="00D27B7A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D27B7A">
        <w:rPr>
          <w:rFonts w:ascii="Times New Roman" w:eastAsia="標楷體" w:hAnsi="Times New Roman" w:cs="Times New Roman"/>
          <w:kern w:val="0"/>
          <w:szCs w:val="24"/>
        </w:rPr>
        <w:t>主辦單位保留</w:t>
      </w:r>
      <w:r w:rsidRPr="00D27B7A">
        <w:rPr>
          <w:rFonts w:ascii="Times New Roman" w:eastAsia="標楷體" w:hAnsi="Times New Roman" w:cs="Times New Roman" w:hint="eastAsia"/>
          <w:kern w:val="0"/>
          <w:szCs w:val="24"/>
        </w:rPr>
        <w:t>變更、終止活動及最終解釋之權利。</w:t>
      </w:r>
    </w:p>
    <w:p w:rsidR="00AB3ADA" w:rsidRPr="00D27B7A" w:rsidRDefault="00AB3ADA" w:rsidP="00AB3ADA">
      <w:pPr>
        <w:spacing w:beforeLines="50" w:before="180" w:line="48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27B7A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D27B7A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</w:t>
      </w:r>
      <w:r w:rsidRPr="00D27B7A">
        <w:rPr>
          <w:rFonts w:ascii="Times New Roman" w:eastAsia="標楷體" w:hAnsi="Times New Roman" w:cs="Times New Roman" w:hint="eastAsia"/>
          <w:sz w:val="28"/>
          <w:szCs w:val="28"/>
        </w:rPr>
        <w:t>；參與課程達總時數之三分之二以上者，於課程結束後核發研習證書。</w:t>
      </w:r>
    </w:p>
    <w:p w:rsidR="00374791" w:rsidRPr="00AB3ADA" w:rsidRDefault="00374791">
      <w:pPr>
        <w:rPr>
          <w:rFonts w:ascii="Times New Roman" w:eastAsia="標楷體" w:hAnsi="Times New Roman" w:cs="Times New Roman"/>
        </w:rPr>
      </w:pPr>
    </w:p>
    <w:sectPr w:rsidR="00374791" w:rsidRPr="00AB3ADA" w:rsidSect="001D6BCA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04" w:rsidRDefault="00465404" w:rsidP="00D11A79">
      <w:r>
        <w:separator/>
      </w:r>
    </w:p>
  </w:endnote>
  <w:endnote w:type="continuationSeparator" w:id="0">
    <w:p w:rsidR="00465404" w:rsidRDefault="00465404" w:rsidP="00D1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00992"/>
      <w:docPartObj>
        <w:docPartGallery w:val="Page Numbers (Bottom of Page)"/>
        <w:docPartUnique/>
      </w:docPartObj>
    </w:sdtPr>
    <w:sdtEndPr/>
    <w:sdtContent>
      <w:p w:rsidR="003501ED" w:rsidRDefault="003501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07D" w:rsidRPr="0055107D">
          <w:rPr>
            <w:noProof/>
            <w:lang w:val="zh-TW"/>
          </w:rPr>
          <w:t>2</w:t>
        </w:r>
        <w:r>
          <w:fldChar w:fldCharType="end"/>
        </w:r>
      </w:p>
    </w:sdtContent>
  </w:sdt>
  <w:p w:rsidR="003501ED" w:rsidRDefault="003501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04" w:rsidRDefault="00465404" w:rsidP="00D11A79">
      <w:r>
        <w:separator/>
      </w:r>
    </w:p>
  </w:footnote>
  <w:footnote w:type="continuationSeparator" w:id="0">
    <w:p w:rsidR="00465404" w:rsidRDefault="00465404" w:rsidP="00D1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39D"/>
    <w:multiLevelType w:val="hybridMultilevel"/>
    <w:tmpl w:val="6D42E2E2"/>
    <w:lvl w:ilvl="0" w:tplc="F03A7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49DB214E"/>
    <w:multiLevelType w:val="hybridMultilevel"/>
    <w:tmpl w:val="AA44A648"/>
    <w:lvl w:ilvl="0" w:tplc="F42CED1E">
      <w:start w:val="1"/>
      <w:numFmt w:val="taiwaneseCountingThousand"/>
      <w:lvlText w:val="（%1）"/>
      <w:lvlJc w:val="left"/>
      <w:pPr>
        <w:ind w:left="1584" w:hanging="864"/>
      </w:pPr>
      <w:rPr>
        <w:rFonts w:hint="default"/>
      </w:rPr>
    </w:lvl>
    <w:lvl w:ilvl="1" w:tplc="B6CC4062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96A0F01A"/>
    <w:lvl w:ilvl="0" w:tplc="A692A62A">
      <w:start w:val="1"/>
      <w:numFmt w:val="taiwaneseCountingThousand"/>
      <w:lvlText w:val="（%1）"/>
      <w:lvlJc w:val="left"/>
      <w:pPr>
        <w:ind w:left="10184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A1B41994"/>
    <w:lvl w:ilvl="0" w:tplc="806AF9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3F6C82"/>
    <w:multiLevelType w:val="hybridMultilevel"/>
    <w:tmpl w:val="B36CBEE6"/>
    <w:lvl w:ilvl="0" w:tplc="502CF68A">
      <w:start w:val="1"/>
      <w:numFmt w:val="taiwaneseCountingThousand"/>
      <w:lvlText w:val="（%1）"/>
      <w:lvlJc w:val="left"/>
      <w:pPr>
        <w:ind w:left="4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33"/>
    <w:rsid w:val="00017EFB"/>
    <w:rsid w:val="00046942"/>
    <w:rsid w:val="00053C57"/>
    <w:rsid w:val="00057E3D"/>
    <w:rsid w:val="0007084F"/>
    <w:rsid w:val="000807DE"/>
    <w:rsid w:val="00082D37"/>
    <w:rsid w:val="000844E0"/>
    <w:rsid w:val="00085C6E"/>
    <w:rsid w:val="00095526"/>
    <w:rsid w:val="000A65C5"/>
    <w:rsid w:val="000D3D48"/>
    <w:rsid w:val="000F15AC"/>
    <w:rsid w:val="000F4BA3"/>
    <w:rsid w:val="001126D2"/>
    <w:rsid w:val="00115FFC"/>
    <w:rsid w:val="00120C6F"/>
    <w:rsid w:val="001323A5"/>
    <w:rsid w:val="00150053"/>
    <w:rsid w:val="00150EE4"/>
    <w:rsid w:val="00161FC8"/>
    <w:rsid w:val="00176B9A"/>
    <w:rsid w:val="00176C42"/>
    <w:rsid w:val="0019125B"/>
    <w:rsid w:val="001B7067"/>
    <w:rsid w:val="001D6BCA"/>
    <w:rsid w:val="001F5C19"/>
    <w:rsid w:val="001F7BA2"/>
    <w:rsid w:val="00210933"/>
    <w:rsid w:val="0022715E"/>
    <w:rsid w:val="002314F8"/>
    <w:rsid w:val="00236D20"/>
    <w:rsid w:val="0027792D"/>
    <w:rsid w:val="00281B15"/>
    <w:rsid w:val="00283812"/>
    <w:rsid w:val="002A7C9E"/>
    <w:rsid w:val="002B7B0E"/>
    <w:rsid w:val="002F2E14"/>
    <w:rsid w:val="003170D7"/>
    <w:rsid w:val="003235D9"/>
    <w:rsid w:val="003272ED"/>
    <w:rsid w:val="003431EA"/>
    <w:rsid w:val="00344FE1"/>
    <w:rsid w:val="003501ED"/>
    <w:rsid w:val="00374791"/>
    <w:rsid w:val="00377BB2"/>
    <w:rsid w:val="0038240F"/>
    <w:rsid w:val="003B7C6C"/>
    <w:rsid w:val="003C3046"/>
    <w:rsid w:val="003D1951"/>
    <w:rsid w:val="003D725B"/>
    <w:rsid w:val="003E0EA7"/>
    <w:rsid w:val="003E7448"/>
    <w:rsid w:val="003F2AB5"/>
    <w:rsid w:val="003F7160"/>
    <w:rsid w:val="00410BAA"/>
    <w:rsid w:val="00465404"/>
    <w:rsid w:val="00492D1A"/>
    <w:rsid w:val="00494F90"/>
    <w:rsid w:val="00496170"/>
    <w:rsid w:val="004A1F3A"/>
    <w:rsid w:val="004B3D5B"/>
    <w:rsid w:val="004B4CE5"/>
    <w:rsid w:val="004C200A"/>
    <w:rsid w:val="004E241C"/>
    <w:rsid w:val="004E2C3D"/>
    <w:rsid w:val="004E30E4"/>
    <w:rsid w:val="004E5951"/>
    <w:rsid w:val="004E7969"/>
    <w:rsid w:val="00515F80"/>
    <w:rsid w:val="0052534D"/>
    <w:rsid w:val="00527CD2"/>
    <w:rsid w:val="0055107D"/>
    <w:rsid w:val="005570CC"/>
    <w:rsid w:val="0056582B"/>
    <w:rsid w:val="00576157"/>
    <w:rsid w:val="005822D6"/>
    <w:rsid w:val="00594282"/>
    <w:rsid w:val="005A3F61"/>
    <w:rsid w:val="005B2F60"/>
    <w:rsid w:val="005B750D"/>
    <w:rsid w:val="005E3177"/>
    <w:rsid w:val="0060099A"/>
    <w:rsid w:val="00620AA4"/>
    <w:rsid w:val="006259F4"/>
    <w:rsid w:val="006667F8"/>
    <w:rsid w:val="006915A3"/>
    <w:rsid w:val="006A6A75"/>
    <w:rsid w:val="006B3287"/>
    <w:rsid w:val="006C175F"/>
    <w:rsid w:val="006E6E78"/>
    <w:rsid w:val="006F7F7D"/>
    <w:rsid w:val="00700E25"/>
    <w:rsid w:val="007039CB"/>
    <w:rsid w:val="00710BF3"/>
    <w:rsid w:val="0071723B"/>
    <w:rsid w:val="00717CDD"/>
    <w:rsid w:val="00771512"/>
    <w:rsid w:val="00782439"/>
    <w:rsid w:val="007871EA"/>
    <w:rsid w:val="007A3ADF"/>
    <w:rsid w:val="007E2D64"/>
    <w:rsid w:val="007F0EDE"/>
    <w:rsid w:val="007F611C"/>
    <w:rsid w:val="007F7185"/>
    <w:rsid w:val="0080257E"/>
    <w:rsid w:val="00803EEC"/>
    <w:rsid w:val="00821578"/>
    <w:rsid w:val="00823D1D"/>
    <w:rsid w:val="008500D3"/>
    <w:rsid w:val="00873479"/>
    <w:rsid w:val="008847EB"/>
    <w:rsid w:val="008A7DCF"/>
    <w:rsid w:val="008B4E70"/>
    <w:rsid w:val="008C316F"/>
    <w:rsid w:val="008E5914"/>
    <w:rsid w:val="008F0900"/>
    <w:rsid w:val="009069DE"/>
    <w:rsid w:val="009078E5"/>
    <w:rsid w:val="009179DA"/>
    <w:rsid w:val="00920C0F"/>
    <w:rsid w:val="00927629"/>
    <w:rsid w:val="00932DEF"/>
    <w:rsid w:val="00932E53"/>
    <w:rsid w:val="009877F5"/>
    <w:rsid w:val="0099229F"/>
    <w:rsid w:val="0099253A"/>
    <w:rsid w:val="009A31FD"/>
    <w:rsid w:val="009A59B6"/>
    <w:rsid w:val="009B1EDF"/>
    <w:rsid w:val="009B37E3"/>
    <w:rsid w:val="009F02BB"/>
    <w:rsid w:val="009F4B2F"/>
    <w:rsid w:val="009F5BFD"/>
    <w:rsid w:val="00A0603B"/>
    <w:rsid w:val="00A35895"/>
    <w:rsid w:val="00A37C5D"/>
    <w:rsid w:val="00A459C8"/>
    <w:rsid w:val="00A76BCE"/>
    <w:rsid w:val="00A84F40"/>
    <w:rsid w:val="00A87E07"/>
    <w:rsid w:val="00AB3308"/>
    <w:rsid w:val="00AB3ADA"/>
    <w:rsid w:val="00AC4137"/>
    <w:rsid w:val="00AE1291"/>
    <w:rsid w:val="00AF10BC"/>
    <w:rsid w:val="00B06CF6"/>
    <w:rsid w:val="00B07ADE"/>
    <w:rsid w:val="00B16C0C"/>
    <w:rsid w:val="00B346E1"/>
    <w:rsid w:val="00B3764B"/>
    <w:rsid w:val="00B462CC"/>
    <w:rsid w:val="00B52CC6"/>
    <w:rsid w:val="00B559E6"/>
    <w:rsid w:val="00B5761C"/>
    <w:rsid w:val="00BB2022"/>
    <w:rsid w:val="00BD11F4"/>
    <w:rsid w:val="00BD4B5C"/>
    <w:rsid w:val="00BE0CFD"/>
    <w:rsid w:val="00BF365B"/>
    <w:rsid w:val="00C0559E"/>
    <w:rsid w:val="00C057EB"/>
    <w:rsid w:val="00C07D13"/>
    <w:rsid w:val="00C12A4C"/>
    <w:rsid w:val="00C23879"/>
    <w:rsid w:val="00C52310"/>
    <w:rsid w:val="00C6069A"/>
    <w:rsid w:val="00C60731"/>
    <w:rsid w:val="00C62205"/>
    <w:rsid w:val="00C70909"/>
    <w:rsid w:val="00CB1535"/>
    <w:rsid w:val="00CC7109"/>
    <w:rsid w:val="00CC7308"/>
    <w:rsid w:val="00CE30AC"/>
    <w:rsid w:val="00CF16EE"/>
    <w:rsid w:val="00CF1A28"/>
    <w:rsid w:val="00D012B0"/>
    <w:rsid w:val="00D01E39"/>
    <w:rsid w:val="00D06D4D"/>
    <w:rsid w:val="00D07ED4"/>
    <w:rsid w:val="00D11A79"/>
    <w:rsid w:val="00D27B7A"/>
    <w:rsid w:val="00D670BA"/>
    <w:rsid w:val="00D73093"/>
    <w:rsid w:val="00D80E43"/>
    <w:rsid w:val="00D8796D"/>
    <w:rsid w:val="00DA23F5"/>
    <w:rsid w:val="00DC1B44"/>
    <w:rsid w:val="00DF4C2A"/>
    <w:rsid w:val="00E156C1"/>
    <w:rsid w:val="00E30B98"/>
    <w:rsid w:val="00E43B93"/>
    <w:rsid w:val="00E6720A"/>
    <w:rsid w:val="00E746B5"/>
    <w:rsid w:val="00E87379"/>
    <w:rsid w:val="00E87657"/>
    <w:rsid w:val="00E922EA"/>
    <w:rsid w:val="00E96486"/>
    <w:rsid w:val="00EB3B94"/>
    <w:rsid w:val="00ED0624"/>
    <w:rsid w:val="00ED63E0"/>
    <w:rsid w:val="00ED7139"/>
    <w:rsid w:val="00F03A10"/>
    <w:rsid w:val="00F078EC"/>
    <w:rsid w:val="00F13018"/>
    <w:rsid w:val="00F13C01"/>
    <w:rsid w:val="00F2477C"/>
    <w:rsid w:val="00F25904"/>
    <w:rsid w:val="00F263C3"/>
    <w:rsid w:val="00F27C54"/>
    <w:rsid w:val="00F324AB"/>
    <w:rsid w:val="00F40449"/>
    <w:rsid w:val="00F4107E"/>
    <w:rsid w:val="00F507FC"/>
    <w:rsid w:val="00F6431F"/>
    <w:rsid w:val="00F670CE"/>
    <w:rsid w:val="00F74170"/>
    <w:rsid w:val="00F75399"/>
    <w:rsid w:val="00F951D6"/>
    <w:rsid w:val="00F96564"/>
    <w:rsid w:val="00FA213A"/>
    <w:rsid w:val="00FB7DE9"/>
    <w:rsid w:val="00FC54F2"/>
    <w:rsid w:val="00FD2E2B"/>
    <w:rsid w:val="00FD459B"/>
    <w:rsid w:val="00FD67CA"/>
    <w:rsid w:val="00FD6DCE"/>
    <w:rsid w:val="00FD788D"/>
    <w:rsid w:val="00FE2DC5"/>
    <w:rsid w:val="00FE7FD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83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9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8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E404-D902-4BC7-9970-D2F56DB9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171</cp:revision>
  <cp:lastPrinted>2017-06-22T08:11:00Z</cp:lastPrinted>
  <dcterms:created xsi:type="dcterms:W3CDTF">2016-11-07T01:28:00Z</dcterms:created>
  <dcterms:modified xsi:type="dcterms:W3CDTF">2017-06-28T07:24:00Z</dcterms:modified>
</cp:coreProperties>
</file>