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2929D1">
        <w:rPr>
          <w:rFonts w:ascii="標楷體" w:eastAsia="標楷體" w:hAnsi="標楷體" w:cs="DFKaiShu-SB-Estd-BF"/>
          <w:kern w:val="0"/>
          <w:sz w:val="32"/>
          <w:szCs w:val="32"/>
        </w:rPr>
        <w:t xml:space="preserve">105 </w:t>
      </w:r>
      <w:r w:rsidRPr="002929D1">
        <w:rPr>
          <w:rFonts w:ascii="標楷體" w:eastAsia="標楷體" w:hAnsi="標楷體" w:cs="DFKaiShu-SB-Estd-BF" w:hint="eastAsia"/>
          <w:kern w:val="0"/>
          <w:sz w:val="32"/>
          <w:szCs w:val="32"/>
        </w:rPr>
        <w:t>年度工作計畫內容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一、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南瀛國際人文研究中心學術研究推廣業務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《資料蒐集工作、協助研究學者進行研究工作、辦理小型學術講座及研討會、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辦理小型研究計畫案》。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辦理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 2016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南研究博碩士論文獎學金。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籌劃辦理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 2017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年第五屆南瀛研究國際學術研討會。本屆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研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討會主辦老師為劉益昌委員及賀安娟委員，主題為南瀛的考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古與文學</w:t>
      </w:r>
      <w:proofErr w:type="gramEnd"/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暫訂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，預計於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2016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年底前開始籌劃，並進行邀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稿事宜。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持續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南地區各大專院校合作，辦理南瀛研究相關推廣活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動</w:t>
      </w:r>
      <w:r w:rsidRPr="002929D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4.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編輯黃典權教授全集。黃典權教授為成大歷史系教授，生前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致力於明史研究，抵台之後更致力於研究明鄭王朝之相關歷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413" w:left="99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史考據事宜，多所著作。為建立「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南學術研究叢書」系列，以黃典權教授著作做為起點，後續將編輯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南研究相關學術研究之學者作品全集，以作為後人研究之重要基礎。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5.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維護中心相關設施並協助進駐學者學員，安排進駐事宜及事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177" w:left="425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後整理。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30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預期效益：鼓勵學術界從事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南人文、歷史、社會的深度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kern w:val="0"/>
          <w:sz w:val="30"/>
          <w:szCs w:val="30"/>
        </w:rPr>
        <w:t xml:space="preserve">     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研究，加深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南研究底蘊，持續推廣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南研究，深入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研</w:t>
      </w:r>
      <w:proofErr w:type="gramEnd"/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kern w:val="0"/>
          <w:sz w:val="30"/>
          <w:szCs w:val="30"/>
        </w:rPr>
        <w:t xml:space="preserve">     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究成果於民眾生活中。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二、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2016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南藝術節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236" w:left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2012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年以來，市府於每年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月至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6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月舉辦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南藝術節活動，邀請國內外優質表演藝術團體至本市演出，豐富市民藝文生活。本會擬與市府合作籌辦「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2016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南藝術節」，「國際經典」、「臺灣精湛」、「城市舞臺」三大系列，以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南在地元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素結合國際交流，建構多元豐富的藝術饗宴，並計畫延續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2015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年辦理模式，推出自製節目。其中「城市舞臺」是以在地文化為發想，邀請甄選在地傑出團隊，針對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南在地主題創作，並於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南獨特文化地景演出。本活動可提供團隊創作資源，培養市民觀賞多元藝術風氣，更可將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南獨特的文化風貌，呈現給全國民眾欣賞。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250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</w:t>
      </w:r>
    </w:p>
    <w:p w:rsidR="002929D1" w:rsidRPr="002929D1" w:rsidRDefault="002929D1" w:rsidP="00E86B26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拓廣文化展演與交流：</w:t>
      </w:r>
    </w:p>
    <w:p w:rsidR="003724A9" w:rsidRDefault="002929D1" w:rsidP="00E86B26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跨越語言、文化與背景之差異，提供多元且精緻，兼具國際</w:t>
      </w:r>
    </w:p>
    <w:p w:rsidR="003724A9" w:rsidRDefault="002929D1" w:rsidP="003724A9">
      <w:pPr>
        <w:autoSpaceDE w:val="0"/>
        <w:autoSpaceDN w:val="0"/>
        <w:adjustRightInd w:val="0"/>
        <w:spacing w:line="480" w:lineRule="exact"/>
        <w:ind w:firstLineChars="354" w:firstLine="99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與在地思維之表演藝術活動，營造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南成為文化首都之雄厚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firstLineChars="354" w:firstLine="99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潛能。</w:t>
      </w:r>
    </w:p>
    <w:p w:rsidR="002929D1" w:rsidRPr="002929D1" w:rsidRDefault="002929D1" w:rsidP="00E86B26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活化城市空間：</w:t>
      </w:r>
    </w:p>
    <w:p w:rsidR="003724A9" w:rsidRDefault="002929D1" w:rsidP="003724A9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4.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將藝文展演活動帶進市區境內公共空間，使藝術表演走出演</w:t>
      </w:r>
    </w:p>
    <w:p w:rsidR="002929D1" w:rsidRPr="002929D1" w:rsidRDefault="003724A9" w:rsidP="003724A9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proofErr w:type="gramStart"/>
      <w:r w:rsidR="002929D1"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藝廳</w:t>
      </w:r>
      <w:proofErr w:type="gramEnd"/>
      <w:r w:rsidR="002929D1"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，讓城市所有角落皆</w:t>
      </w:r>
      <w:proofErr w:type="gramStart"/>
      <w:r w:rsidR="002929D1"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沉</w:t>
      </w:r>
      <w:proofErr w:type="gramEnd"/>
      <w:r w:rsidR="002929D1"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浸於文化涵養。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5.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提升藝文團隊水平：</w:t>
      </w:r>
    </w:p>
    <w:p w:rsidR="003724A9" w:rsidRDefault="002929D1" w:rsidP="003724A9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6.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藉由國內外團隊交流切磋，觀摩各國演出，激發創作靈感，</w:t>
      </w:r>
    </w:p>
    <w:p w:rsidR="002929D1" w:rsidRPr="002929D1" w:rsidRDefault="003724A9" w:rsidP="003724A9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2929D1"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藉以提昇</w:t>
      </w:r>
      <w:proofErr w:type="gramStart"/>
      <w:r w:rsidR="002929D1"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="002929D1"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南地區藝文團隊競爭力與藝術水平。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三、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辦理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2016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台南文學季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台南市是臺灣文學重鎮，從明鄭、清領、日治、戰後不同的時代文人輩出且留下珍貴的文學作品，不論是古典文學、本土文學、當代新文學等都是臺灣、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南的瑰寶值得好好保存並加以發揚，縣市合併之後每年初秋辦理台南文學獎禮讚、出版台南作家作品集、邀請文學家駐市書寫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發表等文學活動在此時綻放文學的花朵，爲厚實台南文學的內涵及營造文學之城之氣息，因此將整合上述活動及加入文學跨域計畫如文學與戲劇、音樂、朗讀、裝置藝術之結合，用不同形式來詮釋文學作品，同時也加入文學地景、文學詩路、獨立書店、文學沙龍等，規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劃成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2016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台南文學季。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經費需求：計需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100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本計畫將有效整合目前台南市各項文學活動，同時也充分結合既有文學資源，可擴大參與層面，創造更多文學議題，亦可有效行銷台南文學之城。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四、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321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巷藝術聚落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公園路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321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巷的市定古蹟「原日軍步兵第二聯隊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官舍群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」，目前由國防部委託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市政府代管，是個鬧中取靜的「市內桃源」，由文化局規劃以兩年為期徵集藝術家及藝文團隊合作，透過藝文團隊的創意與進駐，結合園區藝術、人文與生態，活化成為藝術村，達到初期再利用目標。未來則可望成為文化古都最具特色的古蹟藝術聚落，同時以「藝文群聚」效應帶來城市行銷與旅遊觀光。目前已委託七個團隊進駐空間，辦理各項藝文展覽、公共藝術設置、表演藝術活動，將此聚落活化成為古蹟新亮點。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105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年將新增四個空間進行短期進駐，並規劃戲說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321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、繪聲繪影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重現兵配廠</w:t>
      </w:r>
      <w:proofErr w:type="gramEnd"/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Ⅱ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等展演活動。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50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保存本市古蹟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321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巷歷史人文、地理環境紋理，留下關於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321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巷的回憶及故事，並有效運用閒置空間，營造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321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巷整體文化藝術氛圍。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五、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2016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南新藝獎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市府於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2013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年首度辦理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南新藝獎，以促進當代藝術發展。有別於國內其他美術獎項徵件活動，前六名入選者於「台南藝術博覽會」展出，本會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105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年持續與市府合作規劃辦理「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2016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南新藝獎」，承歷來入駐古蹟、老屋、藝文空間及特色店家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的非典型展覽型態，步出傳統美術館的白盒子框架，以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南錯落有致的古都聚落及濃郁歷史氛圍為立基，描繪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南巷弄作為城市美術館的散步地圖。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除此之外，新藝獎規劃國外藝術家參展進行國際交流，透過新藝獎的橋接，國際的藝術視角相互映照，在創作與觀看的對話過程中，見證相異的城市經驗如何以藝術之名匯聚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或殊然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70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鼓勵青年藝術家創作發展，活絡藝術市場，建立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藝企媒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合平台，讓藝術家作品得以快速進入藝術市場，活絡當代藝術發展，開啟國際交流渠道。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六、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2016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臺灣國際蘭展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─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大型藝術品創作計畫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36" w:left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邀請藝術家以蘭花為創作題材，結合本市在地產業及文化創意內涵，且讓工藝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匠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師手藝及技藝以創新的方式表達，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讓職人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精神繼續傳承，注入文化創意產業的深度及廣度。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100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傳統工藝保存與地方特色產業相結合，為本市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國際蘭展留下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首件大型藝術品，將工藝品產業化「傳統」與「創新」相結合，創造文化性、實用性、耐久性之美兼具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的文創商品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，行銷本市文化創意產業及產業價值。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七、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2016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南瀛國際民俗藝術節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南瀛國際民俗藝術節」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 Nan Ying International Folklore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Festival; NYIFF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1996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年開始在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南辦理，為每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年一屆而以保存暨推廣世界各國之無形文化資產（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 intangible </w:t>
      </w:r>
      <w:proofErr w:type="spellStart"/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culturalheritage</w:t>
      </w:r>
      <w:proofErr w:type="spell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）及用「國民外交」的友誼方式宣揚臺灣文化藝術為主要目的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藝術節，至今業有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年的活動歷史。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lastRenderedPageBreak/>
        <w:t xml:space="preserve">2016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為本藝術節第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屆，亦為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週年紀念，藉此藝術節舉辦之機會，廣邀國際民俗表演藝術團體來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參與，並辦理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20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週年相關慶祝及回顧紀念活動，期能與歷屆參與的民眾有更多互動。除了多元的文化藝術演出之交流方式，並輔以廣泛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南市民個人（家庭）、團體（社區、演藝團隊）、企業以及學校單位的國民外交式之接待與參與，除讓國際團隊對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南及臺灣的文化、藝術有所認識及體驗，更增進國人對世界各國不同之民族文化的欣賞，學習接納與尊重文化之多樣性，營造更加和諧進步的公民社會。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250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leftChars="236" w:left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保存並推廣世界上的無形文化資產。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將國際文化與藝術介紹給國人，並加強國內、外交流的機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會，建立國際文化與藝術的交流平台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3.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藉由「友誼單位」的接待國際團隊方式，實現國民外交。讓</w:t>
      </w:r>
    </w:p>
    <w:p w:rsidR="002929D1" w:rsidRDefault="002929D1" w:rsidP="002929D1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國際友人體驗與學習更多有關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南當地及臺灣的文化。建立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並維持與國際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團隊間的友誼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八、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 2016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南瀛獎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一</w:t>
      </w:r>
      <w:proofErr w:type="gramEnd"/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計畫重點：</w:t>
      </w:r>
    </w:p>
    <w:p w:rsidR="002929D1" w:rsidRPr="002929D1" w:rsidRDefault="002929D1" w:rsidP="003724A9">
      <w:pPr>
        <w:autoSpaceDE w:val="0"/>
        <w:autoSpaceDN w:val="0"/>
        <w:adjustRightInd w:val="0"/>
        <w:spacing w:line="480" w:lineRule="exact"/>
        <w:ind w:leftChars="236" w:left="709" w:hangingChars="51" w:hanging="14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「南瀛獎」自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1987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年開辦，最初以「南瀛美展」方式邀請展出，進行藝術交流，翌年改以開放全國徵件方式辦理，歷經將近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30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年的開創與厚植，為求與時俱進，「南瀛獎」透過不斷的調整轉型，已然成為南臺灣藝壇的盛事。尤其縣市合併後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南市結合了原南市的古蹟歷史資源及原南縣豐富多元的原鄉文化，建立了濃厚獨特的地方特色，持續以文化藝術之名推動地方文化發展。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105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年南瀛獎已邁入第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23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屆，徵選類別延續上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(22)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屆調整為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西方媒材類、東方媒材類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、立體造型類、工藝類、書法篆刻類、視覺傳達類、影像攝影類等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7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大類，並提高各類優選獎與南瀛獎獎金，總獎金達新台幣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250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萬元。「南瀛</w:t>
      </w:r>
      <w:bookmarkStart w:id="0" w:name="_GoBack"/>
      <w:bookmarkEnd w:id="0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獎」具有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有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別於傳統美展的特色，包括以採取兩階段評審方式，第一階段為分類專業，第二階段為宏觀綜合性評審；打破美術類別界限，以獎項名稱而不分名次給獎；頒發高額獎金；進行隆重公開表揚儀式，讓得獎者及參與評審的專家學者與有榮焉。歷屆參與競賽作品達上千件，活動參與人數達數萬人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二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經費需求：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100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萬元。</w:t>
      </w:r>
    </w:p>
    <w:p w:rsidR="002929D1" w:rsidRPr="002929D1" w:rsidRDefault="002929D1" w:rsidP="002929D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30"/>
          <w:szCs w:val="30"/>
        </w:rPr>
      </w:pP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三</w:t>
      </w:r>
      <w:r w:rsidRPr="002929D1">
        <w:rPr>
          <w:rFonts w:ascii="標楷體" w:eastAsia="標楷體" w:hAnsi="標楷體" w:cs="DFKaiShu-SB-Estd-BF"/>
          <w:kern w:val="0"/>
          <w:sz w:val="30"/>
          <w:szCs w:val="30"/>
        </w:rPr>
        <w:t xml:space="preserve">) </w:t>
      </w:r>
      <w:r w:rsidRPr="002929D1">
        <w:rPr>
          <w:rFonts w:ascii="標楷體" w:eastAsia="標楷體" w:hAnsi="標楷體" w:cs="DFKaiShu-SB-Estd-BF" w:hint="eastAsia"/>
          <w:kern w:val="0"/>
          <w:sz w:val="30"/>
          <w:szCs w:val="30"/>
        </w:rPr>
        <w:t>預期效益：</w:t>
      </w:r>
    </w:p>
    <w:p w:rsidR="00F92D59" w:rsidRPr="002929D1" w:rsidRDefault="002929D1" w:rsidP="002929D1">
      <w:pPr>
        <w:autoSpaceDE w:val="0"/>
        <w:autoSpaceDN w:val="0"/>
        <w:adjustRightInd w:val="0"/>
        <w:spacing w:line="480" w:lineRule="exact"/>
        <w:ind w:leftChars="236" w:left="566"/>
        <w:rPr>
          <w:rFonts w:ascii="標楷體" w:eastAsia="標楷體" w:hAnsi="標楷體"/>
        </w:rPr>
      </w:pP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自上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>(22)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屆起為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讓得獎者有更完整的行銷露出與展出的舞台，於隔年為得獎者安排於新營文化中心舉辦個展，或安排與其他展場合作辦理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「南瀛獎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特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展」。「南瀛獎」延續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22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屆的耕耘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成長及蛻變，第</w:t>
      </w:r>
      <w:r w:rsidRPr="002929D1">
        <w:rPr>
          <w:rFonts w:ascii="標楷體" w:eastAsia="標楷體" w:hAnsi="標楷體" w:cs="DFKaiShu-SB-Estd-BF"/>
          <w:kern w:val="0"/>
          <w:sz w:val="28"/>
          <w:szCs w:val="28"/>
        </w:rPr>
        <w:t xml:space="preserve">23 </w:t>
      </w:r>
      <w:proofErr w:type="gramStart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屆將更</w:t>
      </w:r>
      <w:proofErr w:type="gramEnd"/>
      <w:r w:rsidRPr="002929D1">
        <w:rPr>
          <w:rFonts w:ascii="標楷體" w:eastAsia="標楷體" w:hAnsi="標楷體" w:cs="DFKaiShu-SB-Estd-BF" w:hint="eastAsia"/>
          <w:kern w:val="0"/>
          <w:sz w:val="28"/>
          <w:szCs w:val="28"/>
        </w:rPr>
        <w:t>成熟與精進。</w:t>
      </w:r>
    </w:p>
    <w:sectPr w:rsidR="00F92D59" w:rsidRPr="00292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D1"/>
    <w:rsid w:val="002929D1"/>
    <w:rsid w:val="003724A9"/>
    <w:rsid w:val="00AC4E5A"/>
    <w:rsid w:val="00E86B26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41C4"/>
  <w15:chartTrackingRefBased/>
  <w15:docId w15:val="{A14962BA-1176-452C-93DF-F0D2736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劉淑菁</dc:creator>
  <cp:keywords/>
  <dc:description/>
  <cp:lastModifiedBy>劉淑菁</cp:lastModifiedBy>
  <cp:revision>1</cp:revision>
  <dcterms:created xsi:type="dcterms:W3CDTF">2022-02-07T00:49:00Z</dcterms:created>
  <dcterms:modified xsi:type="dcterms:W3CDTF">2022-02-07T01:31:00Z</dcterms:modified>
</cp:coreProperties>
</file>